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60A2" w14:textId="77777777" w:rsidR="00354AC2" w:rsidRPr="00354AC2" w:rsidRDefault="00354AC2" w:rsidP="00354AC2">
      <w:pPr>
        <w:suppressAutoHyphens/>
        <w:ind w:left="-284"/>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Синим – условия, относящиеся к Поставщикам, применяющим ОСНО</w:t>
      </w:r>
    </w:p>
    <w:p w14:paraId="2A30719E"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7777777"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№____ от _________ </w:t>
      </w:r>
    </w:p>
    <w:p w14:paraId="74F0ADA9" w14:textId="1F0F56D7"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w:t>
      </w:r>
      <w:proofErr w:type="spellStart"/>
      <w:r w:rsidR="00AC416A">
        <w:rPr>
          <w:rFonts w:ascii="Times New Roman" w:eastAsia="Times New Roman" w:hAnsi="Times New Roman" w:cs="Times New Roman"/>
          <w:b/>
          <w:color w:val="00000A"/>
        </w:rPr>
        <w:t>клининга</w:t>
      </w:r>
      <w:proofErr w:type="spellEnd"/>
      <w:r w:rsidR="00AC416A">
        <w:rPr>
          <w:rFonts w:ascii="Times New Roman" w:eastAsia="Times New Roman" w:hAnsi="Times New Roman" w:cs="Times New Roman"/>
          <w:b/>
          <w:color w:val="00000A"/>
        </w:rPr>
        <w:t>/технической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 ____</w:t>
      </w:r>
      <w:r w:rsidR="00AC416A" w:rsidRPr="00AC416A">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p>
    <w:p w14:paraId="318C5E35" w14:textId="77777777" w:rsidR="00AC416A" w:rsidRDefault="00AC416A" w:rsidP="00AC416A">
      <w:pPr>
        <w:jc w:val="center"/>
        <w:rPr>
          <w:rFonts w:ascii="Times New Roman" w:hAnsi="Times New Roman" w:cs="Times New Roman"/>
          <w:b/>
          <w:sz w:val="22"/>
          <w:szCs w:val="22"/>
        </w:rPr>
      </w:pPr>
    </w:p>
    <w:p w14:paraId="70A2D32D" w14:textId="464F5B06"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СОГЛАШЕНИЕ О НАЛОГОВЫХ ЗАВЕРЕНИЯХ. 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pPr>
        <w:pStyle w:val="3"/>
        <w:ind w:left="-567"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43EEA8D6" w14:textId="358ADB80" w:rsidR="00AC416A" w:rsidRDefault="00B66A32" w:rsidP="00AC416A">
      <w:pPr>
        <w:pStyle w:val="3"/>
        <w:tabs>
          <w:tab w:val="left" w:pos="284"/>
        </w:tabs>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 xml:space="preserve">сведений, составляющих налоговую тайну, общедоступными, в соответствии с </w:t>
      </w:r>
      <w:proofErr w:type="spellStart"/>
      <w:r>
        <w:rPr>
          <w:rFonts w:ascii="Times New Roman" w:eastAsia="Times New Roman" w:hAnsi="Times New Roman" w:cs="Times New Roman"/>
          <w:color w:val="000000"/>
          <w:sz w:val="22"/>
          <w:szCs w:val="22"/>
        </w:rPr>
        <w:t>пп</w:t>
      </w:r>
      <w:proofErr w:type="spellEnd"/>
      <w:r>
        <w:rPr>
          <w:rFonts w:ascii="Times New Roman" w:eastAsia="Times New Roman" w:hAnsi="Times New Roman" w:cs="Times New Roman"/>
          <w:color w:val="000000"/>
          <w:sz w:val="22"/>
          <w:szCs w:val="22"/>
        </w:rPr>
        <w:t>. 1 п. 1 с. 102 НК РФ</w:t>
      </w:r>
      <w:r w:rsidR="00AC416A">
        <w:rPr>
          <w:rFonts w:ascii="Times New Roman" w:eastAsia="Times New Roman" w:hAnsi="Times New Roman" w:cs="Times New Roman"/>
          <w:color w:val="000000"/>
          <w:sz w:val="22"/>
          <w:szCs w:val="22"/>
        </w:rPr>
        <w:t>:</w:t>
      </w:r>
    </w:p>
    <w:p w14:paraId="51B1F2FB" w14:textId="77777777" w:rsidR="00974052" w:rsidRPr="00AC416A" w:rsidRDefault="00974052" w:rsidP="00974052">
      <w:pPr>
        <w:widowControl/>
        <w:pBdr>
          <w:top w:val="nil"/>
          <w:left w:val="nil"/>
          <w:bottom w:val="nil"/>
          <w:right w:val="nil"/>
          <w:between w:val="nil"/>
        </w:pBdr>
        <w:tabs>
          <w:tab w:val="left" w:pos="-283"/>
          <w:tab w:val="left" w:pos="0"/>
          <w:tab w:val="left" w:pos="284"/>
        </w:tabs>
        <w:ind w:left="-567" w:firstLine="567"/>
        <w:jc w:val="both"/>
        <w:rPr>
          <w:color w:val="000000"/>
          <w:sz w:val="22"/>
          <w:szCs w:val="22"/>
        </w:rPr>
      </w:pPr>
      <w:r>
        <w:rPr>
          <w:rFonts w:ascii="Times New Roman" w:eastAsia="Times New Roman" w:hAnsi="Times New Roman" w:cs="Times New Roman"/>
          <w:color w:val="000000"/>
          <w:sz w:val="22"/>
          <w:szCs w:val="22"/>
        </w:rPr>
        <w:t xml:space="preserve">1) </w:t>
      </w:r>
      <w:r w:rsidRPr="00AC416A">
        <w:rPr>
          <w:rFonts w:ascii="Times New Roman" w:eastAsia="Times New Roman" w:hAnsi="Times New Roman" w:cs="Times New Roman"/>
          <w:color w:val="000000"/>
          <w:sz w:val="22"/>
          <w:szCs w:val="22"/>
        </w:rPr>
        <w:t>о наличии (урегулировании/</w:t>
      </w:r>
      <w:proofErr w:type="spellStart"/>
      <w:r w:rsidRPr="00AC416A">
        <w:rPr>
          <w:rFonts w:ascii="Times New Roman" w:eastAsia="Times New Roman" w:hAnsi="Times New Roman" w:cs="Times New Roman"/>
          <w:color w:val="000000"/>
          <w:sz w:val="22"/>
          <w:szCs w:val="22"/>
        </w:rPr>
        <w:t>неурегулировании</w:t>
      </w:r>
      <w:proofErr w:type="spellEnd"/>
      <w:r w:rsidRPr="00AC416A">
        <w:rPr>
          <w:rFonts w:ascii="Times New Roman" w:eastAsia="Times New Roman" w:hAnsi="Times New Roman" w:cs="Times New Roman"/>
          <w:color w:val="000000"/>
          <w:sz w:val="22"/>
          <w:szCs w:val="22"/>
        </w:rPr>
        <w:t>) несформированного источника по цепочке поставщиков товаров (работ/услуг) для принятия к вычету сумм НДС</w:t>
      </w:r>
      <w:r w:rsidRPr="00AC416A">
        <w:rPr>
          <w:color w:val="000000"/>
          <w:sz w:val="22"/>
          <w:szCs w:val="22"/>
        </w:rPr>
        <w:t xml:space="preserve"> </w:t>
      </w:r>
      <w:r w:rsidRPr="00AC416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 средней заработной плате;</w:t>
      </w:r>
    </w:p>
    <w:p w14:paraId="4B80A3E0" w14:textId="77777777" w:rsidR="00974052" w:rsidRPr="00291CC5" w:rsidRDefault="00974052" w:rsidP="00974052">
      <w:pPr>
        <w:pStyle w:val="ad"/>
        <w:widowControl/>
        <w:numPr>
          <w:ilvl w:val="0"/>
          <w:numId w:val="3"/>
        </w:numPr>
        <w:pBdr>
          <w:top w:val="nil"/>
          <w:left w:val="nil"/>
          <w:bottom w:val="nil"/>
          <w:right w:val="nil"/>
          <w:between w:val="nil"/>
        </w:pBdr>
        <w:tabs>
          <w:tab w:val="left" w:pos="-283"/>
          <w:tab w:val="left" w:pos="0"/>
          <w:tab w:val="left" w:pos="284"/>
          <w:tab w:val="left" w:pos="567"/>
        </w:tabs>
        <w:ind w:left="-567" w:firstLine="567"/>
        <w:jc w:val="both"/>
        <w:rPr>
          <w:color w:val="000000"/>
          <w:sz w:val="22"/>
          <w:szCs w:val="22"/>
        </w:rPr>
      </w:pPr>
      <w:r w:rsidRPr="00291CC5">
        <w:rPr>
          <w:rFonts w:ascii="Times New Roman" w:eastAsia="Times New Roman" w:hAnsi="Times New Roman" w:cs="Times New Roman"/>
          <w:color w:val="000000"/>
          <w:sz w:val="22"/>
          <w:szCs w:val="22"/>
        </w:rPr>
        <w:t>об удельном весе вычетов по НДС</w:t>
      </w:r>
      <w:r>
        <w:rPr>
          <w:rFonts w:ascii="Times New Roman" w:eastAsia="Times New Roman" w:hAnsi="Times New Roman" w:cs="Times New Roman"/>
          <w:color w:val="000000"/>
          <w:sz w:val="22"/>
          <w:szCs w:val="22"/>
        </w:rPr>
        <w:t>;</w:t>
      </w:r>
    </w:p>
    <w:p w14:paraId="3B9E0FFD" w14:textId="573BE638" w:rsidR="00974052" w:rsidRPr="00C76E00" w:rsidRDefault="00974052" w:rsidP="00974052">
      <w:pPr>
        <w:pStyle w:val="ad"/>
        <w:tabs>
          <w:tab w:val="left" w:pos="1276"/>
          <w:tab w:val="left" w:pos="1701"/>
        </w:tabs>
        <w:ind w:left="-567" w:firstLine="567"/>
        <w:jc w:val="both"/>
        <w:rPr>
          <w:rFonts w:ascii="Times New Roman" w:hAnsi="Times New Roman" w:cs="Times New Roman"/>
          <w:sz w:val="22"/>
          <w:szCs w:val="22"/>
        </w:rPr>
      </w:pPr>
      <w:r>
        <w:rPr>
          <w:rFonts w:ascii="Times New Roman" w:hAnsi="Times New Roman" w:cs="Times New Roman"/>
          <w:sz w:val="22"/>
          <w:szCs w:val="22"/>
        </w:rPr>
        <w:t>п</w:t>
      </w:r>
      <w:r w:rsidRPr="00C76E00">
        <w:rPr>
          <w:rFonts w:ascii="Times New Roman" w:hAnsi="Times New Roman" w:cs="Times New Roman"/>
          <w:sz w:val="22"/>
          <w:szCs w:val="22"/>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26FB514F" w14:textId="77777777" w:rsidR="00974052" w:rsidRPr="00AD6A4C" w:rsidRDefault="00974052" w:rsidP="00974052">
      <w:pPr>
        <w:pStyle w:val="3"/>
        <w:spacing w:before="0"/>
        <w:ind w:left="-567" w:firstLine="567"/>
        <w:jc w:val="both"/>
        <w:rPr>
          <w:rFonts w:ascii="Times New Roman" w:eastAsia="Times New Roman" w:hAnsi="Times New Roman" w:cs="Times New Roman"/>
          <w:b/>
          <w:color w:val="auto"/>
          <w:sz w:val="22"/>
          <w:szCs w:val="22"/>
        </w:rPr>
      </w:pPr>
      <w:r w:rsidRPr="00AA139B">
        <w:rPr>
          <w:rFonts w:ascii="Times New Roman" w:eastAsia="Times New Roman" w:hAnsi="Times New Roman" w:cs="Times New Roman"/>
          <w:b/>
          <w:color w:val="000000"/>
          <w:sz w:val="22"/>
          <w:szCs w:val="22"/>
        </w:rPr>
        <w:t xml:space="preserve">или </w:t>
      </w:r>
    </w:p>
    <w:p w14:paraId="52277941" w14:textId="1077EBAC" w:rsidR="00A73021" w:rsidRPr="00C76E00" w:rsidRDefault="00AA139B" w:rsidP="00AD6A4C">
      <w:pPr>
        <w:pStyle w:val="3"/>
        <w:spacing w:before="0"/>
        <w:ind w:left="-567" w:firstLine="567"/>
        <w:jc w:val="both"/>
        <w:rPr>
          <w:rFonts w:ascii="Times New Roman" w:hAnsi="Times New Roman" w:cs="Times New Roman"/>
          <w:sz w:val="22"/>
          <w:szCs w:val="22"/>
        </w:rPr>
      </w:pPr>
      <w:r w:rsidRPr="00AD6A4C">
        <w:rPr>
          <w:rFonts w:ascii="Times New Roman" w:hAnsi="Times New Roman" w:cs="Times New Roman"/>
          <w:b/>
          <w:color w:val="auto"/>
          <w:sz w:val="22"/>
          <w:szCs w:val="22"/>
        </w:rPr>
        <w:t>(</w:t>
      </w:r>
      <w:r w:rsidR="00AD6A4C" w:rsidRPr="00AD6A4C">
        <w:rPr>
          <w:rFonts w:ascii="Times New Roman" w:hAnsi="Times New Roman" w:cs="Times New Roman"/>
          <w:b/>
          <w:color w:val="auto"/>
          <w:sz w:val="22"/>
          <w:szCs w:val="22"/>
        </w:rPr>
        <w:t>п</w:t>
      </w:r>
      <w:r w:rsidRPr="00AD6A4C">
        <w:rPr>
          <w:rFonts w:ascii="Times New Roman" w:hAnsi="Times New Roman" w:cs="Times New Roman"/>
          <w:b/>
          <w:color w:val="auto"/>
          <w:sz w:val="22"/>
          <w:szCs w:val="22"/>
        </w:rPr>
        <w:t>ри предоставлении Согласия до 13.12.2022 г)</w:t>
      </w:r>
      <w:r w:rsidR="00AD6A4C" w:rsidRPr="00AD6A4C">
        <w:rPr>
          <w:rFonts w:ascii="Times New Roman" w:hAnsi="Times New Roman" w:cs="Times New Roman"/>
          <w:b/>
          <w:color w:val="auto"/>
          <w:sz w:val="22"/>
          <w:szCs w:val="22"/>
        </w:rPr>
        <w:t xml:space="preserve"> </w:t>
      </w:r>
      <w:r w:rsidR="00B66A32"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w:t>
      </w:r>
      <w:r w:rsidR="00974052" w:rsidRPr="00AD6A4C">
        <w:rPr>
          <w:rFonts w:ascii="Times New Roman" w:hAnsi="Times New Roman" w:cs="Times New Roman"/>
          <w:color w:val="auto"/>
          <w:sz w:val="22"/>
          <w:szCs w:val="22"/>
        </w:rPr>
        <w:t>19.03.2020 г №СД-4-2/4748</w:t>
      </w:r>
      <w:r w:rsidR="00AD6A4C" w:rsidRPr="00AD6A4C">
        <w:rPr>
          <w:rFonts w:ascii="Times New Roman" w:eastAsia="Times New Roman" w:hAnsi="Times New Roman" w:cs="Times New Roman"/>
          <w:color w:val="auto"/>
          <w:sz w:val="22"/>
          <w:szCs w:val="22"/>
        </w:rPr>
        <w:t xml:space="preserve"> </w:t>
      </w:r>
      <w:r w:rsidR="00AD6A4C" w:rsidRPr="00AD6A4C">
        <w:rPr>
          <w:rFonts w:ascii="Times New Roman" w:eastAsia="Times New Roman" w:hAnsi="Times New Roman" w:cs="Times New Roman"/>
          <w:b/>
          <w:color w:val="auto"/>
          <w:sz w:val="22"/>
          <w:szCs w:val="22"/>
        </w:rPr>
        <w:t>(Кейс GRUZ)</w:t>
      </w:r>
      <w:r w:rsidR="00B66A32" w:rsidRPr="00AD6A4C">
        <w:rPr>
          <w:rFonts w:ascii="Times New Roman" w:eastAsia="Times New Roman" w:hAnsi="Times New Roman" w:cs="Times New Roman"/>
          <w:color w:val="auto"/>
          <w:sz w:val="22"/>
          <w:szCs w:val="22"/>
        </w:rPr>
        <w:t xml:space="preserve"> сроком действия </w:t>
      </w:r>
      <w:r w:rsidR="00A73021" w:rsidRPr="00AD6A4C">
        <w:rPr>
          <w:rFonts w:ascii="Times New Roman" w:eastAsia="Times New Roman" w:hAnsi="Times New Roman" w:cs="Times New Roman"/>
          <w:color w:val="auto"/>
          <w:sz w:val="22"/>
          <w:szCs w:val="22"/>
        </w:rPr>
        <w:t xml:space="preserve">не позднее </w:t>
      </w:r>
      <w:r w:rsidR="00B66A32" w:rsidRPr="00AD6A4C">
        <w:rPr>
          <w:rFonts w:ascii="Times New Roman" w:eastAsia="Times New Roman" w:hAnsi="Times New Roman" w:cs="Times New Roman"/>
          <w:color w:val="auto"/>
          <w:sz w:val="22"/>
          <w:szCs w:val="22"/>
        </w:rPr>
        <w:t>начала календарного года, в котором заключе</w:t>
      </w:r>
      <w:r w:rsidRPr="00AD6A4C">
        <w:rPr>
          <w:rFonts w:ascii="Times New Roman" w:eastAsia="Times New Roman" w:hAnsi="Times New Roman" w:cs="Times New Roman"/>
          <w:color w:val="auto"/>
          <w:sz w:val="22"/>
          <w:szCs w:val="22"/>
        </w:rPr>
        <w:t xml:space="preserve">н настоящий Договор, </w:t>
      </w:r>
      <w:r w:rsidR="00A73021" w:rsidRPr="00AD6A4C">
        <w:rPr>
          <w:rFonts w:ascii="Times New Roman" w:eastAsia="Times New Roman" w:hAnsi="Times New Roman" w:cs="Times New Roman"/>
          <w:color w:val="auto"/>
          <w:sz w:val="22"/>
          <w:szCs w:val="22"/>
        </w:rPr>
        <w:t xml:space="preserve">и не менее </w:t>
      </w:r>
      <w:r w:rsidR="00A73021"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00A73021" w:rsidRPr="00C76E00">
        <w:rPr>
          <w:rFonts w:ascii="Times New Roman" w:hAnsi="Times New Roman" w:cs="Times New Roman"/>
          <w:sz w:val="22"/>
          <w:szCs w:val="22"/>
        </w:rPr>
        <w:t xml:space="preserve">, </w:t>
      </w:r>
    </w:p>
    <w:p w14:paraId="3D9F8EB4" w14:textId="1D4CD104" w:rsidR="00AC416A" w:rsidRPr="00AC416A" w:rsidRDefault="00974052"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02CAC4CC" w14:textId="0BF9CA5E" w:rsidR="00AC416A" w:rsidRPr="00AC416A" w:rsidRDefault="00AC416A" w:rsidP="00F87267">
      <w:pPr>
        <w:pStyle w:val="ad"/>
        <w:tabs>
          <w:tab w:val="left" w:pos="1276"/>
          <w:tab w:val="left" w:pos="1701"/>
        </w:tabs>
        <w:ind w:left="-567"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F87267">
      <w:pPr>
        <w:widowControl/>
        <w:numPr>
          <w:ilvl w:val="2"/>
          <w:numId w:val="1"/>
        </w:numPr>
        <w:pBdr>
          <w:top w:val="nil"/>
          <w:left w:val="nil"/>
          <w:bottom w:val="nil"/>
          <w:right w:val="nil"/>
          <w:between w:val="nil"/>
        </w:pBdr>
        <w:tabs>
          <w:tab w:val="left" w:pos="-283"/>
          <w:tab w:val="left" w:pos="0"/>
          <w:tab w:val="left" w:pos="567"/>
        </w:tabs>
        <w:ind w:left="-567" w:firstLine="567"/>
        <w:jc w:val="both"/>
        <w:rPr>
          <w:color w:val="0070C0"/>
          <w:sz w:val="22"/>
          <w:szCs w:val="22"/>
        </w:rPr>
      </w:pPr>
      <w:r w:rsidRPr="00354AC2">
        <w:rPr>
          <w:rFonts w:ascii="Times New Roman" w:eastAsia="Times New Roman" w:hAnsi="Times New Roman" w:cs="Times New Roman"/>
          <w:color w:val="0070C0"/>
          <w:sz w:val="22"/>
          <w:szCs w:val="22"/>
        </w:rPr>
        <w:lastRenderedPageBreak/>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F87267">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-менеджмента, имущественными и трудовыми ресурсами, являются профессиональными участниками рынка </w:t>
      </w:r>
      <w:proofErr w:type="spellStart"/>
      <w:r>
        <w:rPr>
          <w:rFonts w:ascii="Times New Roman" w:eastAsia="Times New Roman" w:hAnsi="Times New Roman" w:cs="Times New Roman"/>
          <w:color w:val="00000A"/>
          <w:sz w:val="22"/>
          <w:szCs w:val="22"/>
        </w:rPr>
        <w:t>фасилити</w:t>
      </w:r>
      <w:proofErr w:type="spellEnd"/>
      <w:r>
        <w:rPr>
          <w:rFonts w:ascii="Times New Roman" w:eastAsia="Times New Roman" w:hAnsi="Times New Roman" w:cs="Times New Roman"/>
          <w:color w:val="00000A"/>
          <w:sz w:val="22"/>
          <w:szCs w:val="22"/>
        </w:rPr>
        <w:t xml:space="preserve">-услуг,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человека в соответствии с законодательством РФ.</w:t>
      </w:r>
    </w:p>
    <w:p w14:paraId="7C617070"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w:t>
      </w:r>
      <w:proofErr w:type="gramStart"/>
      <w:r>
        <w:rPr>
          <w:rFonts w:ascii="Times New Roman" w:eastAsia="Times New Roman" w:hAnsi="Times New Roman" w:cs="Times New Roman"/>
          <w:color w:val="000000"/>
          <w:sz w:val="22"/>
          <w:szCs w:val="22"/>
        </w:rPr>
        <w:t>работа)/</w:t>
      </w:r>
      <w:proofErr w:type="gramEnd"/>
      <w:r>
        <w:rPr>
          <w:rFonts w:ascii="Times New Roman" w:eastAsia="Times New Roman" w:hAnsi="Times New Roman" w:cs="Times New Roman"/>
          <w:color w:val="000000"/>
          <w:sz w:val="22"/>
          <w:szCs w:val="22"/>
        </w:rPr>
        <w:t xml:space="preserve">164  рабочих часа (далее Минимальный размер оплаты труда за час), где </w:t>
      </w:r>
    </w:p>
    <w:p w14:paraId="4505E1F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77777777" w:rsidR="00F77C88" w:rsidRDefault="00B66A32">
      <w:pPr>
        <w:widowControl/>
        <w:numPr>
          <w:ilvl w:val="2"/>
          <w:numId w:val="4"/>
        </w:numPr>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Стоимость работ (услуг) без НДС по Договору определяется путем умножения фактически отработанного за отчетный период трудовыми ресурсами количества нормо-часов на соответствующую </w:t>
      </w:r>
      <w:r>
        <w:rPr>
          <w:rFonts w:ascii="Times New Roman" w:eastAsia="Times New Roman" w:hAnsi="Times New Roman" w:cs="Times New Roman"/>
          <w:color w:val="000000"/>
          <w:sz w:val="22"/>
          <w:szCs w:val="22"/>
        </w:rPr>
        <w:lastRenderedPageBreak/>
        <w:t>стоимость нормо-часа соответствующих услуг Исполнителя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77777777" w:rsidR="00F77C88" w:rsidRDefault="00B66A32">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нормо-часа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0FD414BB" w14:textId="77777777" w:rsidR="00F77C88" w:rsidRDefault="00B66A32" w:rsidP="003527E8">
      <w:pPr>
        <w:widowControl/>
        <w:pBdr>
          <w:top w:val="nil"/>
          <w:left w:val="nil"/>
          <w:bottom w:val="nil"/>
          <w:right w:val="nil"/>
          <w:between w:val="nil"/>
        </w:pBdr>
        <w:tabs>
          <w:tab w:val="left" w:pos="284"/>
          <w:tab w:val="left" w:pos="567"/>
          <w:tab w:val="left" w:pos="1134"/>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342D3206" w14:textId="77777777" w:rsidR="00F77C88" w:rsidRDefault="00B66A32" w:rsidP="003527E8">
      <w:pPr>
        <w:pStyle w:val="3"/>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44E4D809"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1A40B287" w14:textId="74BE3674"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Pr="00AF5B1C">
        <w:rPr>
          <w:rFonts w:ascii="Times New Roman" w:eastAsia="Times New Roman" w:hAnsi="Times New Roman" w:cs="Times New Roman"/>
          <w:color w:val="000000"/>
          <w:sz w:val="22"/>
          <w:szCs w:val="22"/>
        </w:rPr>
        <w:t xml:space="preserve"> с использованием Информационного ресурса </w:t>
      </w:r>
      <w:proofErr w:type="spellStart"/>
      <w:r w:rsidRPr="00AF5B1C">
        <w:rPr>
          <w:rFonts w:ascii="Times New Roman" w:eastAsia="Times New Roman" w:hAnsi="Times New Roman" w:cs="Times New Roman"/>
          <w:color w:val="000000"/>
          <w:sz w:val="22"/>
          <w:szCs w:val="22"/>
        </w:rPr>
        <w:t>Фасилити</w:t>
      </w:r>
      <w:proofErr w:type="spellEnd"/>
      <w:r w:rsidRPr="00AF5B1C">
        <w:rPr>
          <w:rFonts w:ascii="Times New Roman" w:eastAsia="Times New Roman" w:hAnsi="Times New Roman" w:cs="Times New Roman"/>
          <w:color w:val="000000"/>
          <w:sz w:val="22"/>
          <w:szCs w:val="22"/>
        </w:rPr>
        <w:t xml:space="preserve">-операторов, расположенного по адресу: </w:t>
      </w:r>
      <w:hyperlink r:id="rId5">
        <w:r w:rsidRPr="00AF5B1C">
          <w:rPr>
            <w:rFonts w:ascii="Times New Roman" w:eastAsia="Times New Roman" w:hAnsi="Times New Roman" w:cs="Times New Roman"/>
            <w:color w:val="0563C1"/>
            <w:sz w:val="22"/>
            <w:szCs w:val="22"/>
            <w:u w:val="single"/>
          </w:rPr>
          <w:t>https://фм.радо.рус</w:t>
        </w:r>
      </w:hyperlink>
      <w:r w:rsidRPr="00AF5B1C">
        <w:rPr>
          <w:rFonts w:ascii="Times New Roman" w:eastAsia="Times New Roman" w:hAnsi="Times New Roman" w:cs="Times New Roman"/>
          <w:color w:val="000000"/>
          <w:sz w:val="22"/>
          <w:szCs w:val="22"/>
        </w:rPr>
        <w:t xml:space="preserve"> (далее – Информационный ресурс).</w:t>
      </w:r>
    </w:p>
    <w:p w14:paraId="3F0DB60A"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гарантирует, что в целях обеспечения возможности подтверждения достоверности сведений о трудовом ресурсе Исполнителя (Подрядчика/Соисполнителя) с использованием Информационного ресурса:</w:t>
      </w:r>
    </w:p>
    <w:p w14:paraId="0C0D850A" w14:textId="1EDA7B56"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Сведения об Исполнителе и Подрядчиках/Соисполнителях включены в Информационный ресурс (или будут включены не позднее 1 месяца с момента подписания настоящего </w:t>
      </w:r>
      <w:r w:rsidR="001455CA">
        <w:rPr>
          <w:rFonts w:ascii="Times New Roman" w:eastAsia="Times New Roman" w:hAnsi="Times New Roman" w:cs="Times New Roman"/>
          <w:color w:val="000000"/>
          <w:sz w:val="22"/>
          <w:szCs w:val="22"/>
        </w:rPr>
        <w:t>Соглашения</w:t>
      </w:r>
      <w:r>
        <w:rPr>
          <w:rFonts w:ascii="Times New Roman" w:eastAsia="Times New Roman" w:hAnsi="Times New Roman" w:cs="Times New Roman"/>
          <w:color w:val="000000"/>
          <w:sz w:val="22"/>
          <w:szCs w:val="22"/>
        </w:rPr>
        <w:t xml:space="preserve"> – в отношении Исполнителя, с момента заключения договора с Подрядчиком/Соисполнителем – в отношении Подрядчика/Соисполнителя);</w:t>
      </w:r>
    </w:p>
    <w:p w14:paraId="7DB57738" w14:textId="77777777"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Исполнитель и Подрядчики/Соисполнители размещают в Информационном ресурсе полную, достоверную и актуальную информацию и документы, в соответствии с Пользовательским соглашением и правилами формирования Информационного ресурса;</w:t>
      </w:r>
    </w:p>
    <w:p w14:paraId="35AB8E17" w14:textId="640E55AF" w:rsidR="00F77C88" w:rsidRDefault="00B66A32" w:rsidP="003527E8">
      <w:pPr>
        <w:pStyle w:val="3"/>
        <w:spacing w:before="0"/>
        <w:ind w:left="-567"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color w:val="000000"/>
          <w:sz w:val="22"/>
          <w:szCs w:val="22"/>
        </w:rPr>
        <w:t xml:space="preserve">- </w:t>
      </w:r>
      <w:r w:rsidRPr="00AF5B1C">
        <w:rPr>
          <w:rFonts w:ascii="Times New Roman" w:eastAsia="Times New Roman" w:hAnsi="Times New Roman" w:cs="Times New Roman"/>
          <w:color w:val="auto"/>
          <w:sz w:val="22"/>
          <w:szCs w:val="22"/>
        </w:rPr>
        <w:t>Исполнитель обеспечил законность передачи персональных данных (ФИО, СНИЛС</w:t>
      </w:r>
      <w:r w:rsidR="00AF5B1C" w:rsidRPr="00AF5B1C">
        <w:rPr>
          <w:rFonts w:ascii="Times New Roman" w:eastAsia="Times New Roman" w:hAnsi="Times New Roman" w:cs="Times New Roman"/>
          <w:color w:val="auto"/>
          <w:sz w:val="22"/>
          <w:szCs w:val="22"/>
        </w:rPr>
        <w:t>, ИНН,</w:t>
      </w:r>
      <w:r w:rsidR="005A24BA">
        <w:rPr>
          <w:rFonts w:ascii="Times New Roman" w:eastAsia="Times New Roman" w:hAnsi="Times New Roman" w:cs="Times New Roman"/>
          <w:color w:val="auto"/>
          <w:sz w:val="22"/>
          <w:szCs w:val="22"/>
        </w:rPr>
        <w:t xml:space="preserve"> дата рождения, должность, </w:t>
      </w:r>
      <w:r w:rsidR="00AF5B1C" w:rsidRPr="00AF5B1C">
        <w:rPr>
          <w:rFonts w:ascii="Times New Roman" w:eastAsia="Times New Roman" w:hAnsi="Times New Roman" w:cs="Times New Roman"/>
          <w:color w:val="auto"/>
          <w:sz w:val="22"/>
          <w:szCs w:val="22"/>
        </w:rPr>
        <w:t>сведения о сумме выплат и иных вознаграждений, начисленных в пользу физических лиц</w:t>
      </w:r>
      <w:r w:rsidRPr="00AF5B1C">
        <w:rPr>
          <w:rFonts w:ascii="Times New Roman" w:eastAsia="Times New Roman" w:hAnsi="Times New Roman" w:cs="Times New Roman"/>
          <w:color w:val="auto"/>
          <w:sz w:val="22"/>
          <w:szCs w:val="22"/>
        </w:rPr>
        <w:t>) физических лиц, находящихся в трудовых отношениях с Исполнителем или Подрядчиком/Соисполнителем</w:t>
      </w:r>
      <w:r w:rsidRPr="00AF5B1C">
        <w:rPr>
          <w:rFonts w:ascii="Times New Roman" w:eastAsia="Times New Roman" w:hAnsi="Times New Roman" w:cs="Times New Roman"/>
          <w:color w:val="000000"/>
          <w:sz w:val="22"/>
          <w:szCs w:val="22"/>
        </w:rPr>
        <w:t xml:space="preserve">, </w:t>
      </w:r>
      <w:r w:rsidR="00AF5B1C" w:rsidRPr="00AF5B1C">
        <w:rPr>
          <w:rFonts w:ascii="Times New Roman" w:eastAsia="Times New Roman" w:hAnsi="Times New Roman" w:cs="Times New Roman"/>
          <w:color w:val="000000"/>
          <w:sz w:val="22"/>
          <w:szCs w:val="22"/>
        </w:rPr>
        <w:t>Ассоциации Добросовестных Налогоплательщиков «РАДО»</w:t>
      </w:r>
      <w:r w:rsidRPr="00AF5B1C">
        <w:rPr>
          <w:rFonts w:ascii="Times New Roman" w:eastAsia="Times New Roman" w:hAnsi="Times New Roman" w:cs="Times New Roman"/>
          <w:color w:val="000000"/>
          <w:sz w:val="22"/>
          <w:szCs w:val="22"/>
        </w:rPr>
        <w:t xml:space="preserve"> (ИНН 7706460605) и обработки (включая передачу) указанной организацией таких персональных данных, сроком действия начиная не позднее даты заключения настоящего </w:t>
      </w:r>
      <w:r w:rsidR="00AF5B1C" w:rsidRPr="00AF5B1C">
        <w:rPr>
          <w:rFonts w:ascii="Times New Roman" w:eastAsia="Times New Roman" w:hAnsi="Times New Roman" w:cs="Times New Roman"/>
          <w:color w:val="000000"/>
          <w:sz w:val="22"/>
          <w:szCs w:val="22"/>
        </w:rPr>
        <w:t>Соглашения</w:t>
      </w:r>
      <w:r w:rsidRPr="00AF5B1C">
        <w:rPr>
          <w:rFonts w:ascii="Times New Roman" w:eastAsia="Times New Roman" w:hAnsi="Times New Roman" w:cs="Times New Roman"/>
          <w:color w:val="000000"/>
          <w:sz w:val="22"/>
          <w:szCs w:val="22"/>
        </w:rPr>
        <w:t xml:space="preserve"> и оканчивая не ранее истечения трех календарных месяцев после окончания календарного квартала прекращения действия Договора и на условиях, указанных в Пользовательском соглашении на сайте </w:t>
      </w:r>
      <w:r w:rsidR="00AF5B1C" w:rsidRPr="00AF5B1C">
        <w:rPr>
          <w:rFonts w:ascii="Times New Roman" w:eastAsia="Times New Roman" w:hAnsi="Times New Roman" w:cs="Times New Roman"/>
          <w:color w:val="000000"/>
          <w:sz w:val="22"/>
          <w:szCs w:val="22"/>
        </w:rPr>
        <w:t>Информационного ресурса (</w:t>
      </w:r>
      <w:proofErr w:type="spellStart"/>
      <w:r w:rsidRPr="00AF5B1C">
        <w:rPr>
          <w:rFonts w:ascii="Times New Roman" w:eastAsia="Times New Roman" w:hAnsi="Times New Roman" w:cs="Times New Roman"/>
          <w:color w:val="000000"/>
          <w:sz w:val="22"/>
          <w:szCs w:val="22"/>
        </w:rPr>
        <w:t>фм.радо.рус</w:t>
      </w:r>
      <w:proofErr w:type="spellEnd"/>
      <w:r w:rsidRPr="00AF5B1C">
        <w:rPr>
          <w:rFonts w:ascii="Times New Roman" w:eastAsia="Times New Roman" w:hAnsi="Times New Roman" w:cs="Times New Roman"/>
          <w:color w:val="000000"/>
          <w:sz w:val="22"/>
          <w:szCs w:val="22"/>
        </w:rPr>
        <w:t>.</w:t>
      </w:r>
      <w:r w:rsidR="00AF5B1C" w:rsidRP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p>
    <w:p w14:paraId="1176CDD1"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15C28D04" w14:textId="14163538"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направляемых для исполнения Договора на объектах Заказчика (в целях допуска на объект) из </w:t>
      </w:r>
      <w:r w:rsidRPr="00AF5B1C">
        <w:rPr>
          <w:rFonts w:ascii="Times New Roman" w:eastAsia="Times New Roman" w:hAnsi="Times New Roman" w:cs="Times New Roman"/>
          <w:sz w:val="22"/>
          <w:szCs w:val="22"/>
        </w:rPr>
        <w:t xml:space="preserve">сведений в отношении трудоустроенных лиц </w:t>
      </w:r>
      <w:r w:rsidR="00242D77" w:rsidRPr="00AF5B1C">
        <w:rPr>
          <w:rFonts w:ascii="Times New Roman" w:eastAsia="Times New Roman" w:hAnsi="Times New Roman" w:cs="Times New Roman"/>
          <w:sz w:val="22"/>
          <w:szCs w:val="22"/>
        </w:rPr>
        <w:t xml:space="preserve">на основании трудовых договоров с </w:t>
      </w:r>
      <w:r w:rsidRPr="00AF5B1C">
        <w:rPr>
          <w:rFonts w:ascii="Times New Roman" w:eastAsia="Times New Roman" w:hAnsi="Times New Roman" w:cs="Times New Roman"/>
          <w:sz w:val="22"/>
          <w:szCs w:val="22"/>
        </w:rPr>
        <w:t>Исполнителем</w:t>
      </w:r>
      <w:r>
        <w:rPr>
          <w:rFonts w:ascii="Times New Roman" w:eastAsia="Times New Roman" w:hAnsi="Times New Roman" w:cs="Times New Roman"/>
          <w:sz w:val="22"/>
          <w:szCs w:val="22"/>
        </w:rPr>
        <w:t xml:space="preserve"> (Подрядчиком/Соисполнителем), размещенных Исполнителем (Подрядчиком/Соисполнителем) в 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w:t>
      </w:r>
    </w:p>
    <w:p w14:paraId="63A88DDF" w14:textId="1468CB65"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фактически задействованных при оказании услуг на объектах Заказчика (приложение к Акту оказанных услуг, согласно Приложению № 2 к настоящему Соглашению) из сведений в отношении трудоустроенных лиц </w:t>
      </w:r>
      <w:r w:rsidR="00AB048A">
        <w:rPr>
          <w:rFonts w:ascii="Times New Roman" w:eastAsia="Times New Roman" w:hAnsi="Times New Roman" w:cs="Times New Roman"/>
          <w:sz w:val="22"/>
          <w:szCs w:val="22"/>
        </w:rPr>
        <w:t>на основании трудовых договоров</w:t>
      </w:r>
      <w:r>
        <w:rPr>
          <w:rFonts w:ascii="Times New Roman" w:eastAsia="Times New Roman" w:hAnsi="Times New Roman" w:cs="Times New Roman"/>
          <w:sz w:val="22"/>
          <w:szCs w:val="22"/>
        </w:rPr>
        <w:t xml:space="preserve"> с Исполнителем (Подрядчиком/Соисполнителем), размещенных Исполнителем (Подрядчиком/Соисполнителем) в </w:t>
      </w:r>
      <w:r>
        <w:rPr>
          <w:rFonts w:ascii="Times New Roman" w:eastAsia="Times New Roman" w:hAnsi="Times New Roman" w:cs="Times New Roman"/>
          <w:sz w:val="22"/>
          <w:szCs w:val="22"/>
        </w:rPr>
        <w:lastRenderedPageBreak/>
        <w:t>Информационном ресурсе в формате, предусмотренном Информационным ресурсом, и удостоверенных электронной цифровой подписью (ЭЦП) Исполнителя (Подрядчика/Соисполнителя) за соответствующий отчетный период.</w:t>
      </w:r>
    </w:p>
    <w:p w14:paraId="54577F6C"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77777777" w:rsidR="00F77C88" w:rsidRDefault="00B66A32" w:rsidP="003527E8">
      <w:pPr>
        <w:ind w:left="-567"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p>
    <w:p w14:paraId="0E25951F" w14:textId="0673ACC8" w:rsidR="00F77C88" w:rsidRDefault="00B66A32" w:rsidP="003527E8">
      <w:pPr>
        <w:ind w:left="-567" w:firstLine="567"/>
        <w:jc w:val="both"/>
        <w:rPr>
          <w:rFonts w:ascii="Times New Roman" w:eastAsia="Times New Roman" w:hAnsi="Times New Roman" w:cs="Times New Roman"/>
          <w:sz w:val="22"/>
          <w:szCs w:val="22"/>
        </w:rPr>
      </w:pPr>
      <w:r w:rsidRPr="00AF5B1C">
        <w:rPr>
          <w:rFonts w:ascii="Times New Roman" w:eastAsia="Times New Roman" w:hAnsi="Times New Roman" w:cs="Times New Roman"/>
          <w:sz w:val="22"/>
          <w:szCs w:val="22"/>
        </w:rPr>
        <w:t>• при еже</w:t>
      </w:r>
      <w:r w:rsidR="00AF5B1C" w:rsidRPr="00AF5B1C">
        <w:rPr>
          <w:rFonts w:ascii="Times New Roman" w:eastAsia="Times New Roman" w:hAnsi="Times New Roman" w:cs="Times New Roman"/>
          <w:sz w:val="22"/>
          <w:szCs w:val="22"/>
        </w:rPr>
        <w:t>месячной</w:t>
      </w:r>
      <w:r w:rsidRPr="00AF5B1C">
        <w:rPr>
          <w:rFonts w:ascii="Times New Roman" w:eastAsia="Times New Roman" w:hAnsi="Times New Roman" w:cs="Times New Roman"/>
          <w:sz w:val="22"/>
          <w:szCs w:val="22"/>
        </w:rPr>
        <w:t xml:space="preserve"> сверке достоверности сведений о застрахованных лицах Исполнителя</w:t>
      </w:r>
      <w:r>
        <w:rPr>
          <w:rFonts w:ascii="Times New Roman" w:eastAsia="Times New Roman" w:hAnsi="Times New Roman" w:cs="Times New Roman"/>
          <w:sz w:val="22"/>
          <w:szCs w:val="22"/>
        </w:rPr>
        <w:t xml:space="preserve"> (Подрядчика/Соисполнителя) в системе Информационного ресурса по данным Расчетов по страховым взносам на основании Согласия Исполнителя (Подрядчика/Соисполнителя) на признание общедоступными части сведений налоговой тайны согласно п. 1.2.2. настоящего Соглашения.</w:t>
      </w:r>
    </w:p>
    <w:p w14:paraId="52D66E6C" w14:textId="77777777" w:rsidR="00F77C88" w:rsidRDefault="00B66A32" w:rsidP="003527E8">
      <w:pPr>
        <w:widowControl/>
        <w:pBdr>
          <w:top w:val="nil"/>
          <w:left w:val="nil"/>
          <w:bottom w:val="nil"/>
          <w:right w:val="nil"/>
          <w:between w:val="nil"/>
        </w:pBdr>
        <w:tabs>
          <w:tab w:val="left" w:pos="-283"/>
          <w:tab w:val="left" w:pos="1593"/>
        </w:tabs>
        <w:ind w:left="-567"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невозможности взаимодействия Заказчика и Исполнителя при выполнении Договора с использованием Информационного ресурса (вне зависимости от причин такового), подтверждение принадлежности трудового ресурса, 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pPr>
        <w:widowControl/>
        <w:pBdr>
          <w:top w:val="nil"/>
          <w:left w:val="nil"/>
          <w:bottom w:val="nil"/>
          <w:right w:val="nil"/>
          <w:between w:val="nil"/>
        </w:pBdr>
        <w:tabs>
          <w:tab w:val="left" w:pos="-283"/>
          <w:tab w:val="left" w:pos="1593"/>
        </w:tabs>
        <w:ind w:left="-709" w:firstLine="709"/>
        <w:jc w:val="both"/>
        <w:rPr>
          <w:rFonts w:ascii="Times New Roman" w:eastAsia="Times New Roman" w:hAnsi="Times New Roman" w:cs="Times New Roman"/>
          <w:color w:val="00000A"/>
          <w:sz w:val="22"/>
          <w:szCs w:val="22"/>
        </w:rPr>
      </w:pPr>
    </w:p>
    <w:tbl>
      <w:tblPr>
        <w:tblStyle w:val="a5"/>
        <w:tblW w:w="10031" w:type="dxa"/>
        <w:tblInd w:w="-680" w:type="dxa"/>
        <w:tblLayout w:type="fixed"/>
        <w:tblLook w:val="0400" w:firstRow="0" w:lastRow="0" w:firstColumn="0" w:lastColumn="0" w:noHBand="0" w:noVBand="1"/>
      </w:tblPr>
      <w:tblGrid>
        <w:gridCol w:w="4815"/>
        <w:gridCol w:w="5216"/>
      </w:tblGrid>
      <w:tr w:rsidR="00F77C88" w14:paraId="71A9B447"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19535C8"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Документы</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3CF5AD"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Сроки</w:t>
            </w:r>
          </w:p>
        </w:tc>
      </w:tr>
      <w:tr w:rsidR="00F77C88" w14:paraId="47A22474"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675FE1C" w14:textId="77777777" w:rsidR="00F77C88"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14:paraId="71072EBD"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25D5D65" w14:textId="789586ED" w:rsidR="00F77C88" w:rsidRPr="00A14086" w:rsidRDefault="00315F9C"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N ЕД-7-11/878@ </w:t>
            </w:r>
            <w:r w:rsidR="00B66A32" w:rsidRPr="00A14086">
              <w:rPr>
                <w:rFonts w:ascii="Times New Roman" w:eastAsia="Times New Roman" w:hAnsi="Times New Roman" w:cs="Times New Roman"/>
                <w:color w:val="00000A"/>
                <w:sz w:val="22"/>
                <w:szCs w:val="22"/>
              </w:rPr>
              <w:t>(</w:t>
            </w:r>
            <w:r w:rsidR="00AF5B1C">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A14086">
              <w:rPr>
                <w:rFonts w:ascii="Times New Roman" w:eastAsia="Times New Roman" w:hAnsi="Times New Roman" w:cs="Times New Roman"/>
                <w:color w:val="00000A"/>
                <w:sz w:val="22"/>
                <w:szCs w:val="22"/>
              </w:rPr>
              <w:t xml:space="preserve">) – удостоверенная уполномоченным лицом Исполнителя копия за предшествующий календарный месяц, с отметкой о его </w:t>
            </w:r>
            <w:r w:rsidR="004C05A0" w:rsidRPr="00A14086">
              <w:rPr>
                <w:rFonts w:ascii="Times New Roman" w:eastAsia="Times New Roman" w:hAnsi="Times New Roman" w:cs="Times New Roman"/>
                <w:color w:val="00000A"/>
                <w:sz w:val="22"/>
                <w:szCs w:val="22"/>
              </w:rPr>
              <w:t xml:space="preserve">принятии </w:t>
            </w:r>
            <w:r w:rsidRPr="00A14086">
              <w:rPr>
                <w:rFonts w:ascii="Times New Roman" w:eastAsia="Times New Roman" w:hAnsi="Times New Roman" w:cs="Times New Roman"/>
                <w:color w:val="00000A"/>
                <w:sz w:val="22"/>
                <w:szCs w:val="22"/>
              </w:rPr>
              <w:t>уполномоченным налоговым органом</w:t>
            </w:r>
            <w:r w:rsidR="00B66A32" w:rsidRPr="00A14086">
              <w:rPr>
                <w:rFonts w:ascii="Times New Roman" w:eastAsia="Times New Roman" w:hAnsi="Times New Roman" w:cs="Times New Roman"/>
                <w:color w:val="00000A"/>
                <w:sz w:val="22"/>
                <w:szCs w:val="22"/>
              </w:rPr>
              <w:t>.</w:t>
            </w:r>
          </w:p>
        </w:tc>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2D4AAB5" w14:textId="68290AA3"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Не позднее момента предоставления Заказчику списка </w:t>
            </w:r>
            <w:r>
              <w:rPr>
                <w:rFonts w:ascii="Times New Roman" w:eastAsia="Times New Roman" w:hAnsi="Times New Roman" w:cs="Times New Roman"/>
                <w:color w:val="000000"/>
                <w:sz w:val="22"/>
                <w:szCs w:val="22"/>
              </w:rPr>
              <w:t>работников Исполнителя, которым оформляется допуск на Объект Заказчика для оказания услуг</w:t>
            </w:r>
            <w:r w:rsidR="00AF5B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выполнения работ в рамках Договора.</w:t>
            </w:r>
          </w:p>
          <w:p w14:paraId="73A5B260" w14:textId="77777777" w:rsidR="00F77C88" w:rsidRDefault="00B66A32">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Default="00F77C88">
            <w:pPr>
              <w:widowControl/>
              <w:pBdr>
                <w:top w:val="nil"/>
                <w:left w:val="nil"/>
                <w:bottom w:val="nil"/>
                <w:right w:val="nil"/>
                <w:between w:val="nil"/>
              </w:pBdr>
              <w:ind w:left="34"/>
              <w:jc w:val="both"/>
              <w:rPr>
                <w:rFonts w:ascii="Times New Roman" w:eastAsia="Times New Roman" w:hAnsi="Times New Roman" w:cs="Times New Roman"/>
                <w:color w:val="00000A"/>
                <w:sz w:val="22"/>
                <w:szCs w:val="22"/>
              </w:rPr>
            </w:pPr>
          </w:p>
        </w:tc>
      </w:tr>
      <w:tr w:rsidR="00F77C88" w14:paraId="5DE90676"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B98FC80" w14:textId="481EA94B" w:rsidR="00F77C88" w:rsidRPr="00A14086" w:rsidRDefault="00B66A32">
            <w:pPr>
              <w:widowControl/>
              <w:pBdr>
                <w:top w:val="nil"/>
                <w:left w:val="nil"/>
                <w:bottom w:val="nil"/>
                <w:right w:val="nil"/>
                <w:between w:val="nil"/>
              </w:pBdr>
              <w:jc w:val="both"/>
              <w:rPr>
                <w:rFonts w:ascii="Times New Roman" w:eastAsia="Times New Roman" w:hAnsi="Times New Roman" w:cs="Times New Roman"/>
                <w:color w:val="000000"/>
                <w:sz w:val="22"/>
                <w:szCs w:val="22"/>
              </w:rPr>
            </w:pPr>
            <w:r w:rsidRPr="00A14086">
              <w:rPr>
                <w:rFonts w:ascii="Times New Roman" w:eastAsia="Times New Roman" w:hAnsi="Times New Roman" w:cs="Times New Roman"/>
                <w:color w:val="00000A"/>
                <w:sz w:val="22"/>
                <w:szCs w:val="22"/>
              </w:rPr>
              <w:t xml:space="preserve">В </w:t>
            </w:r>
            <w:r w:rsidRPr="00A14086">
              <w:rPr>
                <w:rFonts w:ascii="Times New Roman" w:eastAsia="Times New Roman" w:hAnsi="Times New Roman" w:cs="Times New Roman"/>
                <w:color w:val="000000"/>
                <w:sz w:val="22"/>
                <w:szCs w:val="22"/>
              </w:rPr>
              <w:t>случае отсутствия данных о лице (работнике) в отчете</w:t>
            </w:r>
            <w:r w:rsidR="004C05A0" w:rsidRPr="00A14086">
              <w:t xml:space="preserve"> </w:t>
            </w:r>
            <w:r w:rsidR="004C05A0" w:rsidRPr="00A14086">
              <w:rPr>
                <w:rFonts w:ascii="Times New Roman" w:eastAsia="Times New Roman" w:hAnsi="Times New Roman" w:cs="Times New Roman"/>
                <w:color w:val="000000"/>
                <w:sz w:val="22"/>
                <w:szCs w:val="22"/>
              </w:rPr>
              <w:t>Формы КНД 1151162 «Персонифицированные сведения о физических лицах», утвержденной Приказом ФНС России от 29.09.2022 N ЕД-7-11/878@</w:t>
            </w:r>
            <w:r w:rsidR="00AF5B1C">
              <w:rPr>
                <w:rFonts w:ascii="Times New Roman" w:eastAsia="Times New Roman" w:hAnsi="Times New Roman" w:cs="Times New Roman"/>
                <w:color w:val="000000"/>
                <w:sz w:val="22"/>
                <w:szCs w:val="22"/>
              </w:rPr>
              <w:t xml:space="preserve"> за предшествующий отчетный период</w:t>
            </w:r>
            <w:r w:rsidRPr="00A14086">
              <w:rPr>
                <w:rFonts w:ascii="Times New Roman" w:eastAsia="Times New Roman" w:hAnsi="Times New Roman" w:cs="Times New Roman"/>
                <w:color w:val="000000"/>
                <w:sz w:val="22"/>
                <w:szCs w:val="22"/>
              </w:rPr>
              <w:t>:</w:t>
            </w:r>
          </w:p>
          <w:p w14:paraId="770E2B2C" w14:textId="48594788"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0"/>
                <w:sz w:val="22"/>
                <w:szCs w:val="22"/>
              </w:rPr>
              <w:t xml:space="preserve">- удостоверенная уполномоченным лицом Исполнителя копия отчета </w:t>
            </w:r>
            <w:r w:rsidR="00F73C7E" w:rsidRPr="00A14086">
              <w:rPr>
                <w:rFonts w:ascii="Times New Roman" w:eastAsia="Times New Roman" w:hAnsi="Times New Roman" w:cs="Times New Roman"/>
                <w:color w:val="000000"/>
                <w:sz w:val="22"/>
                <w:szCs w:val="22"/>
              </w:rPr>
              <w:t>ЕФС-1, подраздел 1.1 с титульным листом</w:t>
            </w:r>
            <w:r w:rsidR="004C05A0" w:rsidRPr="00A14086">
              <w:t xml:space="preserve"> </w:t>
            </w:r>
            <w:r w:rsidR="004C05A0" w:rsidRPr="00A14086">
              <w:rPr>
                <w:rFonts w:ascii="Times New Roman" w:eastAsia="Times New Roman" w:hAnsi="Times New Roman" w:cs="Times New Roman"/>
                <w:color w:val="000000"/>
                <w:sz w:val="22"/>
                <w:szCs w:val="22"/>
              </w:rPr>
              <w:t xml:space="preserve">утвержденная Постановлением Правления ПФ РФ от 31.10.2022 N 245п </w:t>
            </w:r>
            <w:r w:rsidRPr="00A14086">
              <w:rPr>
                <w:rFonts w:ascii="Times New Roman" w:eastAsia="Times New Roman" w:hAnsi="Times New Roman" w:cs="Times New Roman"/>
                <w:color w:val="000000"/>
                <w:sz w:val="22"/>
                <w:szCs w:val="22"/>
              </w:rPr>
              <w:t>(</w:t>
            </w:r>
            <w:r w:rsidR="00C31BB0">
              <w:rPr>
                <w:rFonts w:ascii="Times New Roman" w:eastAsia="Times New Roman" w:hAnsi="Times New Roman" w:cs="Times New Roman"/>
                <w:color w:val="000000"/>
                <w:sz w:val="22"/>
                <w:szCs w:val="22"/>
              </w:rPr>
              <w:t>в части соответствующего физического лица</w:t>
            </w:r>
            <w:r w:rsidRPr="00A14086">
              <w:rPr>
                <w:rFonts w:ascii="Times New Roman" w:eastAsia="Times New Roman" w:hAnsi="Times New Roman" w:cs="Times New Roman"/>
                <w:color w:val="000000"/>
                <w:sz w:val="22"/>
                <w:szCs w:val="22"/>
              </w:rPr>
              <w:t>)</w:t>
            </w:r>
            <w:r w:rsidRPr="00A14086">
              <w:rPr>
                <w:rFonts w:ascii="Times New Roman" w:eastAsia="Times New Roman" w:hAnsi="Times New Roman" w:cs="Times New Roman"/>
                <w:color w:val="000000"/>
              </w:rPr>
              <w:t xml:space="preserve"> </w:t>
            </w:r>
            <w:r w:rsidRPr="00A14086">
              <w:rPr>
                <w:rFonts w:ascii="Times New Roman" w:eastAsia="Times New Roman" w:hAnsi="Times New Roman" w:cs="Times New Roman"/>
                <w:color w:val="000000"/>
                <w:sz w:val="22"/>
                <w:szCs w:val="22"/>
              </w:rPr>
              <w:t xml:space="preserve">с отметкой о его принятии </w:t>
            </w:r>
            <w:r w:rsidR="00F73C7E" w:rsidRPr="00A14086">
              <w:rPr>
                <w:rFonts w:ascii="Times New Roman" w:eastAsia="Times New Roman" w:hAnsi="Times New Roman" w:cs="Times New Roman"/>
                <w:color w:val="000000"/>
                <w:sz w:val="22"/>
                <w:szCs w:val="22"/>
              </w:rPr>
              <w:t xml:space="preserve">Фондом пенсионного и социального страхования </w:t>
            </w:r>
            <w:r w:rsidRPr="00A14086">
              <w:rPr>
                <w:rFonts w:ascii="Times New Roman" w:eastAsia="Times New Roman" w:hAnsi="Times New Roman" w:cs="Times New Roman"/>
                <w:color w:val="000000"/>
                <w:sz w:val="22"/>
                <w:szCs w:val="22"/>
              </w:rPr>
              <w:t>РФ;</w:t>
            </w:r>
          </w:p>
        </w:tc>
        <w:tc>
          <w:tcPr>
            <w:tcW w:w="521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59B3263" w14:textId="77777777" w:rsidR="00F77C88" w:rsidRDefault="00F77C88">
            <w:pPr>
              <w:pBdr>
                <w:top w:val="nil"/>
                <w:left w:val="nil"/>
                <w:bottom w:val="nil"/>
                <w:right w:val="nil"/>
                <w:between w:val="nil"/>
              </w:pBdr>
              <w:spacing w:line="276" w:lineRule="auto"/>
              <w:rPr>
                <w:rFonts w:ascii="Times New Roman" w:eastAsia="Times New Roman" w:hAnsi="Times New Roman" w:cs="Times New Roman"/>
                <w:color w:val="00000A"/>
                <w:sz w:val="22"/>
                <w:szCs w:val="22"/>
              </w:rPr>
            </w:pPr>
          </w:p>
        </w:tc>
      </w:tr>
      <w:tr w:rsidR="00F77C88" w14:paraId="3D180C53" w14:textId="77777777">
        <w:tc>
          <w:tcPr>
            <w:tcW w:w="1003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A9B881" w14:textId="77777777" w:rsidR="00F77C88" w:rsidRPr="00A14086" w:rsidRDefault="00B66A32">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14:paraId="2D434C54" w14:textId="77777777">
        <w:tc>
          <w:tcPr>
            <w:tcW w:w="4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E9D8F5D" w14:textId="535EBF37" w:rsidR="00F77C88" w:rsidRPr="00A14086" w:rsidRDefault="00B66A32" w:rsidP="00C31BB0">
            <w:pPr>
              <w:widowControl/>
              <w:pBdr>
                <w:top w:val="nil"/>
                <w:left w:val="nil"/>
                <w:bottom w:val="nil"/>
                <w:right w:val="nil"/>
                <w:between w:val="nil"/>
              </w:pBdr>
              <w:jc w:val="both"/>
              <w:rPr>
                <w:rFonts w:ascii="Times New Roman" w:eastAsia="Times New Roman" w:hAnsi="Times New Roman" w:cs="Times New Roman"/>
                <w:color w:val="00000A"/>
                <w:sz w:val="22"/>
                <w:szCs w:val="22"/>
              </w:rPr>
            </w:pPr>
            <w:r w:rsidRPr="00A14086">
              <w:rPr>
                <w:rFonts w:ascii="Times New Roman" w:eastAsia="Times New Roman" w:hAnsi="Times New Roman" w:cs="Times New Roman"/>
                <w:color w:val="00000A"/>
                <w:sz w:val="22"/>
                <w:szCs w:val="22"/>
              </w:rPr>
              <w:t xml:space="preserve">Отчет </w:t>
            </w:r>
            <w:r w:rsidR="00A14086" w:rsidRPr="00A14086">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N ЕД-7-11/878@ </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в части сведений о физических лицах, фактически задействованных в отчетном периоде на Объектах Заказчика </w:t>
            </w:r>
            <w:proofErr w:type="gramStart"/>
            <w:r w:rsidR="00C31BB0">
              <w:rPr>
                <w:rFonts w:ascii="Times New Roman" w:eastAsia="Times New Roman" w:hAnsi="Times New Roman" w:cs="Times New Roman"/>
                <w:color w:val="00000A"/>
                <w:sz w:val="22"/>
                <w:szCs w:val="22"/>
              </w:rPr>
              <w:t>при  оказании</w:t>
            </w:r>
            <w:proofErr w:type="gramEnd"/>
            <w:r w:rsidR="00C31BB0">
              <w:rPr>
                <w:rFonts w:ascii="Times New Roman" w:eastAsia="Times New Roman" w:hAnsi="Times New Roman" w:cs="Times New Roman"/>
                <w:color w:val="00000A"/>
                <w:sz w:val="22"/>
                <w:szCs w:val="22"/>
              </w:rPr>
              <w:t xml:space="preserve"> услуг/выполнении работ по Договору</w:t>
            </w:r>
            <w:r w:rsidR="00C31BB0" w:rsidRPr="00A14086">
              <w:rPr>
                <w:rFonts w:ascii="Times New Roman" w:eastAsia="Times New Roman" w:hAnsi="Times New Roman" w:cs="Times New Roman"/>
                <w:color w:val="00000A"/>
                <w:sz w:val="22"/>
                <w:szCs w:val="22"/>
              </w:rPr>
              <w:t>)</w:t>
            </w:r>
            <w:r w:rsidR="00C31BB0">
              <w:rPr>
                <w:rFonts w:ascii="Times New Roman" w:eastAsia="Times New Roman" w:hAnsi="Times New Roman" w:cs="Times New Roman"/>
                <w:color w:val="00000A"/>
                <w:sz w:val="22"/>
                <w:szCs w:val="22"/>
              </w:rPr>
              <w:t xml:space="preserve"> </w:t>
            </w:r>
            <w:r w:rsidRPr="00A14086">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A14086">
              <w:rPr>
                <w:rFonts w:ascii="Times New Roman" w:eastAsia="Times New Roman" w:hAnsi="Times New Roman" w:cs="Times New Roman"/>
                <w:color w:val="00000A"/>
                <w:sz w:val="22"/>
                <w:szCs w:val="22"/>
              </w:rPr>
              <w:t xml:space="preserve">уполномоченным налоговым органом </w:t>
            </w:r>
            <w:r w:rsidRPr="00A14086">
              <w:rPr>
                <w:rFonts w:ascii="Times New Roman" w:eastAsia="Times New Roman" w:hAnsi="Times New Roman" w:cs="Times New Roman"/>
                <w:color w:val="00000A"/>
                <w:sz w:val="22"/>
                <w:szCs w:val="22"/>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D91BA00" w14:textId="77777777" w:rsidR="00F77C88" w:rsidRDefault="00B66A32">
            <w:pPr>
              <w:widowControl/>
              <w:pBdr>
                <w:top w:val="nil"/>
                <w:left w:val="nil"/>
                <w:bottom w:val="nil"/>
                <w:right w:val="nil"/>
                <w:between w:val="nil"/>
              </w:pBdr>
              <w:tabs>
                <w:tab w:val="left" w:pos="567"/>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b/>
                <w:color w:val="00000A"/>
                <w:sz w:val="22"/>
                <w:szCs w:val="22"/>
              </w:rPr>
            </w:pPr>
          </w:p>
        </w:tc>
      </w:tr>
    </w:tbl>
    <w:p w14:paraId="09D3F3A2" w14:textId="77777777" w:rsidR="00F77C88" w:rsidRDefault="00B66A32">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 Заказчик вправе не допустить на Объект лиц, неподтвержденных как трудовой ресурс </w:t>
      </w:r>
      <w:r>
        <w:rPr>
          <w:rFonts w:ascii="Times New Roman" w:eastAsia="Times New Roman" w:hAnsi="Times New Roman" w:cs="Times New Roman"/>
          <w:sz w:val="22"/>
          <w:szCs w:val="22"/>
        </w:rPr>
        <w:lastRenderedPageBreak/>
        <w:t>Исполнителя или Подрядчика/Соисполнителя;</w:t>
      </w:r>
    </w:p>
    <w:p w14:paraId="7291EF67" w14:textId="1C898C59"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639A2E76" w14:textId="2AE3801C" w:rsidR="00F77C88" w:rsidRDefault="00B66A32" w:rsidP="003527E8">
      <w:pPr>
        <w:ind w:left="-709"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при сверке данных о трудовом ресурсе Исполнителя (Подрядчика/Соисполнителя), задействованном при оказании услуг (выполнении работ) в соответствующем отчетном периоде с данными </w:t>
      </w:r>
      <w:r w:rsidRPr="002F262C">
        <w:rPr>
          <w:rFonts w:ascii="Times New Roman" w:eastAsia="Times New Roman" w:hAnsi="Times New Roman" w:cs="Times New Roman"/>
          <w:sz w:val="22"/>
          <w:szCs w:val="22"/>
        </w:rPr>
        <w:t>Расчетов по страховым взносам (на основании Согласия Исполнителя (Подрядчика/ Соисполнителя</w:t>
      </w:r>
      <w:r>
        <w:rPr>
          <w:rFonts w:ascii="Times New Roman" w:eastAsia="Times New Roman" w:hAnsi="Times New Roman" w:cs="Times New Roman"/>
          <w:sz w:val="22"/>
          <w:szCs w:val="22"/>
        </w:rPr>
        <w:t>) о признании общедоступными сведений налоговой тайны, согласно п.1.2.2. настоящего Соглашения), Исполнитель уплачивает штраф Заказчику в размере ___ (______) рублей за каждое физическое лицо, неподтвержденное как трудовой ресурс Исполнителя (Подрядчика/Соисполнителя) за каждый отчетный период.</w:t>
      </w:r>
    </w:p>
    <w:p w14:paraId="2CF56260" w14:textId="77777777" w:rsidR="00F77C88" w:rsidRPr="00B00EEC" w:rsidRDefault="00B66A32" w:rsidP="00053E9D">
      <w:pPr>
        <w:widowControl/>
        <w:pBdr>
          <w:top w:val="nil"/>
          <w:left w:val="nil"/>
          <w:bottom w:val="nil"/>
          <w:right w:val="nil"/>
          <w:between w:val="nil"/>
        </w:pBdr>
        <w:tabs>
          <w:tab w:val="left" w:pos="851"/>
          <w:tab w:val="left" w:pos="1593"/>
        </w:tabs>
        <w:ind w:left="-709" w:firstLine="709"/>
        <w:contextualSpacing/>
        <w:jc w:val="both"/>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b/>
          <w:color w:val="000000"/>
          <w:sz w:val="22"/>
          <w:szCs w:val="22"/>
        </w:rPr>
        <w:t>1.3.</w:t>
      </w:r>
      <w:r>
        <w:rPr>
          <w:rFonts w:ascii="Times New Roman" w:eastAsia="Times New Roman" w:hAnsi="Times New Roman" w:cs="Times New Roman"/>
          <w:color w:val="000000"/>
          <w:sz w:val="22"/>
          <w:szCs w:val="22"/>
        </w:rPr>
        <w:t xml:space="preserve"> 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Pr="00B00EEC">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5313EAD4" w14:textId="77777777" w:rsidR="007C4DE6" w:rsidRPr="007C4DE6" w:rsidRDefault="007C4DE6" w:rsidP="007C4DE6">
      <w:pPr>
        <w:tabs>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7C4DE6">
      <w:pPr>
        <w:tabs>
          <w:tab w:val="left" w:pos="567"/>
          <w:tab w:val="left" w:pos="2160"/>
        </w:tabs>
        <w:ind w:left="-709"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7C4DE6">
      <w:pPr>
        <w:tabs>
          <w:tab w:val="left" w:pos="567"/>
          <w:tab w:val="left" w:pos="2160"/>
        </w:tabs>
        <w:ind w:left="-709"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16BD71CB" w:rsidR="003E7AE9" w:rsidRPr="00C76E00" w:rsidRDefault="007C4DE6" w:rsidP="007C4DE6">
      <w:pPr>
        <w:pStyle w:val="Standard"/>
        <w:tabs>
          <w:tab w:val="left" w:pos="1276"/>
          <w:tab w:val="left" w:pos="1593"/>
        </w:tabs>
        <w:ind w:left="-709"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 xml:space="preserve">осуществляется </w:t>
      </w:r>
      <w:proofErr w:type="gramStart"/>
      <w:r>
        <w:rPr>
          <w:sz w:val="22"/>
          <w:szCs w:val="22"/>
        </w:rPr>
        <w:t xml:space="preserve">с </w:t>
      </w:r>
      <w:r w:rsidR="003E7AE9" w:rsidRPr="00C76E00">
        <w:rPr>
          <w:sz w:val="22"/>
          <w:szCs w:val="22"/>
        </w:rPr>
        <w:t xml:space="preserve"> соблюдени</w:t>
      </w:r>
      <w:r>
        <w:rPr>
          <w:sz w:val="22"/>
          <w:szCs w:val="22"/>
        </w:rPr>
        <w:t>ем</w:t>
      </w:r>
      <w:proofErr w:type="gramEnd"/>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w:t>
      </w:r>
      <w:proofErr w:type="spellStart"/>
      <w:r w:rsidRPr="00C76E00">
        <w:rPr>
          <w:sz w:val="22"/>
          <w:szCs w:val="22"/>
        </w:rPr>
        <w:t>непредъявления</w:t>
      </w:r>
      <w:proofErr w:type="spellEnd"/>
      <w:r w:rsidRPr="00C76E00">
        <w:rPr>
          <w:sz w:val="22"/>
          <w:szCs w:val="22"/>
        </w:rPr>
        <w:t xml:space="preserve">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053E9D">
      <w:pPr>
        <w:pStyle w:val="Standard"/>
        <w:tabs>
          <w:tab w:val="left" w:pos="1276"/>
          <w:tab w:val="left" w:pos="1593"/>
        </w:tabs>
        <w:ind w:left="-709"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053E9D">
      <w:pPr>
        <w:pStyle w:val="Standard"/>
        <w:tabs>
          <w:tab w:val="left" w:pos="1593"/>
        </w:tabs>
        <w:ind w:left="-709"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bookmarkStart w:id="1" w:name="_GoBack"/>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bookmarkEnd w:id="1"/>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887F319" w14:textId="77777777" w:rsidR="007C4DE6" w:rsidRPr="00354AC2" w:rsidRDefault="003E7AE9" w:rsidP="00053E9D">
      <w:pPr>
        <w:pStyle w:val="Standard"/>
        <w:tabs>
          <w:tab w:val="left" w:pos="851"/>
        </w:tabs>
        <w:ind w:left="-709" w:firstLine="709"/>
        <w:contextualSpacing/>
        <w:jc w:val="both"/>
        <w:rPr>
          <w:b/>
          <w:color w:val="0070C0"/>
          <w:sz w:val="22"/>
          <w:szCs w:val="22"/>
          <w:lang w:eastAsia="fr-FR"/>
        </w:rPr>
      </w:pPr>
      <w:r w:rsidRPr="00354AC2">
        <w:rPr>
          <w:b/>
          <w:color w:val="0070C0"/>
          <w:sz w:val="22"/>
          <w:szCs w:val="22"/>
          <w:lang w:eastAsia="fr-FR"/>
        </w:rPr>
        <w:t>2.2.</w:t>
      </w:r>
      <w:r w:rsidRPr="00354AC2">
        <w:rPr>
          <w:color w:val="0070C0"/>
          <w:sz w:val="22"/>
          <w:szCs w:val="22"/>
          <w:lang w:eastAsia="fr-FR"/>
        </w:rPr>
        <w:t xml:space="preserve"> </w:t>
      </w:r>
      <w:r w:rsidR="007C4DE6" w:rsidRPr="00354AC2">
        <w:rPr>
          <w:b/>
          <w:color w:val="0070C0"/>
          <w:sz w:val="22"/>
          <w:szCs w:val="22"/>
          <w:lang w:eastAsia="fr-FR"/>
        </w:rPr>
        <w:t>Возмещение имущественных потерь:</w:t>
      </w:r>
    </w:p>
    <w:p w14:paraId="4D087651" w14:textId="17843489" w:rsidR="003E7AE9" w:rsidRPr="00354AC2" w:rsidRDefault="007C4DE6" w:rsidP="00053E9D">
      <w:pPr>
        <w:pStyle w:val="Standard"/>
        <w:tabs>
          <w:tab w:val="left" w:pos="851"/>
        </w:tabs>
        <w:ind w:left="-709" w:firstLine="709"/>
        <w:contextualSpacing/>
        <w:jc w:val="both"/>
        <w:rPr>
          <w:color w:val="0070C0"/>
          <w:sz w:val="22"/>
          <w:szCs w:val="22"/>
        </w:rPr>
      </w:pPr>
      <w:r w:rsidRPr="00354AC2">
        <w:rPr>
          <w:b/>
          <w:color w:val="0070C0"/>
          <w:sz w:val="22"/>
          <w:szCs w:val="22"/>
          <w:lang w:eastAsia="fr-FR"/>
        </w:rPr>
        <w:t>2.2.1.</w:t>
      </w:r>
      <w:r w:rsidRPr="00354AC2">
        <w:rPr>
          <w:color w:val="0070C0"/>
          <w:sz w:val="22"/>
          <w:szCs w:val="22"/>
          <w:lang w:eastAsia="fr-FR"/>
        </w:rPr>
        <w:t xml:space="preserve"> </w:t>
      </w:r>
      <w:r w:rsidR="00053E9D" w:rsidRPr="00354AC2">
        <w:rPr>
          <w:color w:val="0070C0"/>
          <w:sz w:val="22"/>
          <w:szCs w:val="22"/>
          <w:lang w:eastAsia="fr-FR"/>
        </w:rPr>
        <w:t>Исполнитель</w:t>
      </w:r>
      <w:r w:rsidR="003E7AE9" w:rsidRPr="00354AC2">
        <w:rPr>
          <w:color w:val="0070C0"/>
          <w:sz w:val="22"/>
          <w:szCs w:val="22"/>
          <w:lang w:eastAsia="fr-FR"/>
        </w:rPr>
        <w:t xml:space="preserve"> возместит Заказчику полностью все имущественные потери Заказчика</w:t>
      </w:r>
      <w:r w:rsidR="00F474FA" w:rsidRPr="00354AC2">
        <w:rPr>
          <w:color w:val="0070C0"/>
          <w:sz w:val="22"/>
          <w:szCs w:val="22"/>
          <w:lang w:eastAsia="fr-FR"/>
        </w:rPr>
        <w:t xml:space="preserve"> по правилам статьи 406.1. Гражданского кодекса РФ</w:t>
      </w:r>
      <w:r w:rsidR="003E7AE9" w:rsidRPr="00354AC2">
        <w:rPr>
          <w:color w:val="0070C0"/>
          <w:sz w:val="22"/>
          <w:szCs w:val="22"/>
          <w:lang w:eastAsia="fr-FR"/>
        </w:rPr>
        <w:t xml:space="preserve">, которые возникнут в случае не устранения признаков </w:t>
      </w:r>
      <w:r w:rsidR="003E7AE9" w:rsidRPr="00354AC2">
        <w:rPr>
          <w:color w:val="0070C0"/>
          <w:sz w:val="22"/>
          <w:szCs w:val="22"/>
          <w:lang w:eastAsia="fr-FR"/>
        </w:rPr>
        <w:lastRenderedPageBreak/>
        <w:t xml:space="preserve">несформированного по цепочке хозяйственных операций с участием </w:t>
      </w:r>
      <w:r w:rsidR="00053E9D" w:rsidRPr="00354AC2">
        <w:rPr>
          <w:color w:val="0070C0"/>
          <w:sz w:val="22"/>
          <w:szCs w:val="22"/>
          <w:lang w:eastAsia="fr-FR"/>
        </w:rPr>
        <w:t>Исполнителя</w:t>
      </w:r>
      <w:r w:rsidR="003E7AE9" w:rsidRPr="00354AC2">
        <w:rPr>
          <w:color w:val="0070C0"/>
          <w:sz w:val="22"/>
          <w:szCs w:val="22"/>
          <w:lang w:eastAsia="fr-FR"/>
        </w:rPr>
        <w:t xml:space="preserve"> источника для принятия Заказчиком к вычету сумм НДС по операциям из Договора, </w:t>
      </w:r>
      <w:r w:rsidR="003E7AE9" w:rsidRPr="00354AC2">
        <w:rPr>
          <w:color w:val="0070C0"/>
          <w:sz w:val="22"/>
          <w:szCs w:val="22"/>
        </w:rPr>
        <w:t xml:space="preserve">если вследствие такого не устранения Заказчик отказался от </w:t>
      </w:r>
      <w:r w:rsidR="003E7AE9" w:rsidRPr="00354AC2">
        <w:rPr>
          <w:color w:val="0070C0"/>
          <w:sz w:val="22"/>
          <w:szCs w:val="22"/>
          <w:lang w:eastAsia="fr-FR"/>
        </w:rPr>
        <w:t>уменьшения суммы подлежащего уплате налога</w:t>
      </w:r>
      <w:r w:rsidR="003E7AE9" w:rsidRPr="00354AC2">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58AFD2A6" w14:textId="31384F42" w:rsidR="003E7AE9" w:rsidRPr="00354AC2" w:rsidRDefault="00053E9D"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Исполнитель </w:t>
      </w:r>
      <w:r w:rsidR="003E7AE9" w:rsidRPr="00354AC2">
        <w:rPr>
          <w:rFonts w:ascii="Times New Roman" w:hAnsi="Times New Roman" w:cs="Times New Roman"/>
          <w:color w:val="0070C0"/>
          <w:sz w:val="22"/>
          <w:szCs w:val="22"/>
        </w:rPr>
        <w:t xml:space="preserve">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003E7AE9" w:rsidRPr="00354AC2">
        <w:rPr>
          <w:rFonts w:ascii="Times New Roman" w:hAnsi="Times New Roman" w:cs="Times New Roman"/>
          <w:color w:val="0070C0"/>
          <w:sz w:val="22"/>
          <w:szCs w:val="22"/>
          <w:lang w:eastAsia="fr-FR"/>
        </w:rPr>
        <w:t>уменьшения суммы подлежащего уплате налога</w:t>
      </w:r>
      <w:r w:rsidR="003E7AE9" w:rsidRPr="00354AC2">
        <w:rPr>
          <w:rFonts w:ascii="Times New Roman" w:hAnsi="Times New Roman" w:cs="Times New Roman"/>
          <w:color w:val="0070C0"/>
          <w:sz w:val="22"/>
          <w:szCs w:val="22"/>
        </w:rPr>
        <w:t xml:space="preserve"> (вычета) по операциям из Договора. Наличие (урегулирование/не урегулирование) несформированного по цепочке </w:t>
      </w:r>
      <w:r w:rsidRPr="00354AC2">
        <w:rPr>
          <w:rFonts w:ascii="Times New Roman" w:hAnsi="Times New Roman" w:cs="Times New Roman"/>
          <w:color w:val="0070C0"/>
          <w:sz w:val="22"/>
          <w:szCs w:val="22"/>
        </w:rPr>
        <w:t>поставщиков</w:t>
      </w:r>
      <w:r w:rsidR="003E7AE9" w:rsidRPr="00354AC2">
        <w:rPr>
          <w:rFonts w:ascii="Times New Roman" w:hAnsi="Times New Roman" w:cs="Times New Roman"/>
          <w:color w:val="0070C0"/>
          <w:sz w:val="22"/>
          <w:szCs w:val="22"/>
        </w:rPr>
        <w:t xml:space="preserve"> товаров (работ/услуг) с участием </w:t>
      </w:r>
      <w:r w:rsidRPr="00354AC2">
        <w:rPr>
          <w:rFonts w:ascii="Times New Roman" w:hAnsi="Times New Roman" w:cs="Times New Roman"/>
          <w:color w:val="0070C0"/>
          <w:sz w:val="22"/>
          <w:szCs w:val="22"/>
        </w:rPr>
        <w:t>Исполнителя</w:t>
      </w:r>
      <w:r w:rsidR="003E7AE9" w:rsidRPr="00354AC2">
        <w:rPr>
          <w:rFonts w:ascii="Times New Roman" w:hAnsi="Times New Roman" w:cs="Times New Roman"/>
          <w:color w:val="0070C0"/>
          <w:sz w:val="22"/>
          <w:szCs w:val="22"/>
        </w:rPr>
        <w:t xml:space="preserve"> источника по НДС подтверждается информационными письмами налоговых органов, направляемыми в связи с дачей </w:t>
      </w:r>
      <w:r w:rsidRPr="00354AC2">
        <w:rPr>
          <w:rFonts w:ascii="Times New Roman" w:hAnsi="Times New Roman" w:cs="Times New Roman"/>
          <w:color w:val="0070C0"/>
          <w:sz w:val="22"/>
          <w:szCs w:val="22"/>
        </w:rPr>
        <w:t>Исполнителем</w:t>
      </w:r>
      <w:r w:rsidR="003E7AE9" w:rsidRPr="00354AC2">
        <w:rPr>
          <w:rFonts w:ascii="Times New Roman" w:hAnsi="Times New Roman" w:cs="Times New Roman"/>
          <w:color w:val="0070C0"/>
          <w:sz w:val="22"/>
          <w:szCs w:val="22"/>
        </w:rPr>
        <w:t xml:space="preserve"> соответствующего Согласия на признание общедоступными сведений налоговой тайны, согласно п. 1.</w:t>
      </w:r>
      <w:r w:rsidRPr="00354AC2">
        <w:rPr>
          <w:rFonts w:ascii="Times New Roman" w:hAnsi="Times New Roman" w:cs="Times New Roman"/>
          <w:color w:val="0070C0"/>
          <w:sz w:val="22"/>
          <w:szCs w:val="22"/>
        </w:rPr>
        <w:t>2</w:t>
      </w:r>
      <w:r w:rsidR="003E7AE9" w:rsidRPr="00354AC2">
        <w:rPr>
          <w:rFonts w:ascii="Times New Roman" w:hAnsi="Times New Roman" w:cs="Times New Roman"/>
          <w:color w:val="0070C0"/>
          <w:sz w:val="22"/>
          <w:szCs w:val="22"/>
        </w:rPr>
        <w:t xml:space="preserve">.2. настоящего </w:t>
      </w:r>
      <w:r w:rsidRPr="00354AC2">
        <w:rPr>
          <w:rFonts w:ascii="Times New Roman" w:hAnsi="Times New Roman" w:cs="Times New Roman"/>
          <w:color w:val="0070C0"/>
          <w:sz w:val="22"/>
          <w:szCs w:val="22"/>
        </w:rPr>
        <w:t>Соглашения</w:t>
      </w:r>
      <w:r w:rsidR="003E7AE9" w:rsidRPr="00354AC2">
        <w:rPr>
          <w:rFonts w:ascii="Times New Roman" w:hAnsi="Times New Roman" w:cs="Times New Roman"/>
          <w:color w:val="0070C0"/>
          <w:sz w:val="22"/>
          <w:szCs w:val="22"/>
        </w:rPr>
        <w:t>;</w:t>
      </w:r>
    </w:p>
    <w:p w14:paraId="6C31003F" w14:textId="39075E1C"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Добровольный отказ Заказчика от уменьшения </w:t>
      </w:r>
      <w:r w:rsidRPr="00354AC2">
        <w:rPr>
          <w:rFonts w:ascii="Times New Roman" w:hAnsi="Times New Roman" w:cs="Times New Roman"/>
          <w:color w:val="0070C0"/>
          <w:sz w:val="22"/>
          <w:szCs w:val="22"/>
          <w:lang w:eastAsia="fr-FR"/>
        </w:rPr>
        <w:t>суммы подлежащего уплате налога (</w:t>
      </w:r>
      <w:r w:rsidRPr="00354AC2">
        <w:rPr>
          <w:rFonts w:ascii="Times New Roman" w:hAnsi="Times New Roman" w:cs="Times New Roman"/>
          <w:color w:val="0070C0"/>
          <w:sz w:val="22"/>
          <w:szCs w:val="22"/>
        </w:rPr>
        <w:t xml:space="preserve">применении вычета (возмещения) по НДС) </w:t>
      </w:r>
      <w:r w:rsidRPr="00354AC2">
        <w:rPr>
          <w:rFonts w:ascii="Times New Roman" w:hAnsi="Times New Roman" w:cs="Times New Roman"/>
          <w:color w:val="0070C0"/>
          <w:sz w:val="22"/>
          <w:szCs w:val="22"/>
          <w:lang w:eastAsia="fr-FR"/>
        </w:rPr>
        <w:t xml:space="preserve">в рамках операций по Договору </w:t>
      </w:r>
      <w:r w:rsidRPr="00354AC2">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б) в случае, если сумма НДС по операциям с </w:t>
      </w:r>
      <w:r w:rsidR="00053E9D"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не была заявлена Заказчиком к вычету на основании имевшихся у </w:t>
      </w:r>
      <w:r w:rsidR="00053E9D" w:rsidRPr="00354AC2">
        <w:rPr>
          <w:rFonts w:ascii="Times New Roman" w:hAnsi="Times New Roman" w:cs="Times New Roman"/>
          <w:color w:val="0070C0"/>
          <w:sz w:val="22"/>
          <w:szCs w:val="22"/>
        </w:rPr>
        <w:t>Заказчика</w:t>
      </w:r>
      <w:r w:rsidRPr="00354AC2">
        <w:rPr>
          <w:rFonts w:ascii="Times New Roman" w:hAnsi="Times New Roman" w:cs="Times New Roman"/>
          <w:color w:val="0070C0"/>
          <w:sz w:val="22"/>
          <w:szCs w:val="22"/>
        </w:rPr>
        <w:t xml:space="preserve"> сведений о наличии несформированного по цепочке поставщиков товаров (работ/услуг) с участием </w:t>
      </w:r>
      <w:r w:rsidR="00053E9D"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по НДС, подтвержденных информационным письмом налогового органа – не зая</w:t>
      </w:r>
      <w:r w:rsidR="00053E9D" w:rsidRPr="00354AC2">
        <w:rPr>
          <w:rFonts w:ascii="Times New Roman" w:hAnsi="Times New Roman" w:cs="Times New Roman"/>
          <w:color w:val="0070C0"/>
          <w:sz w:val="22"/>
          <w:szCs w:val="22"/>
        </w:rPr>
        <w:t>влении сумм НДС по операциям с Исполнителем</w:t>
      </w:r>
      <w:r w:rsidRPr="00354AC2">
        <w:rPr>
          <w:rFonts w:ascii="Times New Roman" w:hAnsi="Times New Roman" w:cs="Times New Roman"/>
          <w:color w:val="0070C0"/>
          <w:sz w:val="22"/>
          <w:szCs w:val="22"/>
        </w:rPr>
        <w:t xml:space="preserve"> к вычету (возмещению) по истечение установленного срока на урегулирование несформированного источника;</w:t>
      </w:r>
    </w:p>
    <w:p w14:paraId="2EE357D7" w14:textId="6110C4D8"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sidR="00FD78C5" w:rsidRPr="00354AC2">
        <w:rPr>
          <w:color w:val="0070C0"/>
          <w:sz w:val="22"/>
          <w:szCs w:val="22"/>
        </w:rPr>
        <w:t>Исполнителем</w:t>
      </w:r>
      <w:r w:rsidRPr="00354AC2">
        <w:rPr>
          <w:color w:val="0070C0"/>
          <w:sz w:val="22"/>
          <w:szCs w:val="22"/>
        </w:rPr>
        <w:t xml:space="preserve">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2AD9CC2" w14:textId="3E1927DA" w:rsidR="003E7AE9" w:rsidRPr="00354AC2" w:rsidRDefault="003E7AE9" w:rsidP="00053E9D">
      <w:pPr>
        <w:pStyle w:val="Standard"/>
        <w:ind w:left="-709" w:firstLine="709"/>
        <w:contextualSpacing/>
        <w:jc w:val="both"/>
        <w:rPr>
          <w:color w:val="0070C0"/>
          <w:sz w:val="22"/>
          <w:szCs w:val="22"/>
        </w:rPr>
      </w:pPr>
      <w:r w:rsidRPr="00354AC2">
        <w:rPr>
          <w:color w:val="0070C0"/>
          <w:sz w:val="22"/>
          <w:szCs w:val="22"/>
        </w:rPr>
        <w:t xml:space="preserve">Устранение признаков несформированного по цепочке хозяйственных операций с участием </w:t>
      </w:r>
      <w:r w:rsidR="00FD78C5" w:rsidRPr="00354AC2">
        <w:rPr>
          <w:color w:val="0070C0"/>
          <w:sz w:val="22"/>
          <w:szCs w:val="22"/>
        </w:rPr>
        <w:t>Исполнителя</w:t>
      </w:r>
      <w:r w:rsidRPr="00354AC2">
        <w:rPr>
          <w:color w:val="0070C0"/>
          <w:sz w:val="22"/>
          <w:szCs w:val="22"/>
        </w:rPr>
        <w:t xml:space="preserve">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963AD85" w14:textId="431E39EB" w:rsidR="003E7AE9" w:rsidRPr="00354AC2" w:rsidRDefault="003E7AE9" w:rsidP="00053E9D">
      <w:pPr>
        <w:pStyle w:val="ad"/>
        <w:ind w:left="-709" w:firstLine="709"/>
        <w:jc w:val="both"/>
        <w:rPr>
          <w:rFonts w:ascii="Times New Roman" w:hAnsi="Times New Roman" w:cs="Times New Roman"/>
          <w:color w:val="0070C0"/>
          <w:sz w:val="22"/>
          <w:szCs w:val="22"/>
        </w:rPr>
      </w:pPr>
      <w:r w:rsidRPr="00354AC2">
        <w:rPr>
          <w:rFonts w:ascii="Times New Roman" w:hAnsi="Times New Roman" w:cs="Times New Roman"/>
          <w:b/>
          <w:color w:val="0070C0"/>
          <w:sz w:val="22"/>
          <w:szCs w:val="22"/>
          <w:lang w:eastAsia="fr-FR"/>
        </w:rPr>
        <w:t>2.2.</w:t>
      </w:r>
      <w:r w:rsidR="007C4DE6" w:rsidRPr="00354AC2">
        <w:rPr>
          <w:rFonts w:ascii="Times New Roman" w:hAnsi="Times New Roman" w:cs="Times New Roman"/>
          <w:b/>
          <w:color w:val="0070C0"/>
          <w:sz w:val="22"/>
          <w:szCs w:val="22"/>
          <w:lang w:eastAsia="fr-FR"/>
        </w:rPr>
        <w:t>2</w:t>
      </w:r>
      <w:r w:rsidRPr="00354AC2">
        <w:rPr>
          <w:rFonts w:ascii="Times New Roman" w:hAnsi="Times New Roman" w:cs="Times New Roman"/>
          <w:b/>
          <w:color w:val="0070C0"/>
          <w:sz w:val="22"/>
          <w:szCs w:val="22"/>
          <w:lang w:eastAsia="fr-FR"/>
        </w:rPr>
        <w:t>.</w:t>
      </w:r>
      <w:r w:rsidRPr="00354AC2">
        <w:rPr>
          <w:rFonts w:ascii="Times New Roman" w:hAnsi="Times New Roman" w:cs="Times New Roman"/>
          <w:color w:val="0070C0"/>
          <w:sz w:val="22"/>
          <w:szCs w:val="22"/>
          <w:lang w:eastAsia="fr-FR"/>
        </w:rPr>
        <w:t xml:space="preserve"> </w:t>
      </w:r>
      <w:r w:rsidRPr="00354AC2">
        <w:rPr>
          <w:rFonts w:ascii="Times New Roman" w:hAnsi="Times New Roman" w:cs="Times New Roman"/>
          <w:color w:val="0070C0"/>
          <w:sz w:val="22"/>
          <w:szCs w:val="22"/>
        </w:rPr>
        <w:t xml:space="preserve">При получении </w:t>
      </w:r>
      <w:r w:rsidR="00FD78C5" w:rsidRPr="00354AC2">
        <w:rPr>
          <w:rFonts w:ascii="Times New Roman" w:hAnsi="Times New Roman" w:cs="Times New Roman"/>
          <w:color w:val="0070C0"/>
          <w:sz w:val="22"/>
          <w:szCs w:val="22"/>
        </w:rPr>
        <w:t>Исполнителем</w:t>
      </w:r>
      <w:r w:rsidRPr="00354AC2">
        <w:rPr>
          <w:rFonts w:ascii="Times New Roman" w:hAnsi="Times New Roman" w:cs="Times New Roman"/>
          <w:color w:val="0070C0"/>
          <w:sz w:val="22"/>
          <w:szCs w:val="22"/>
        </w:rPr>
        <w:t xml:space="preserve"> Уведомления (согласно форме, являющейся Приложением №1 к настоящему </w:t>
      </w:r>
      <w:r w:rsidR="00FD78C5" w:rsidRPr="00354AC2">
        <w:rPr>
          <w:rFonts w:ascii="Times New Roman" w:hAnsi="Times New Roman" w:cs="Times New Roman"/>
          <w:color w:val="0070C0"/>
          <w:sz w:val="22"/>
          <w:szCs w:val="22"/>
        </w:rPr>
        <w:t>Соглашению</w:t>
      </w:r>
      <w:r w:rsidRPr="00354AC2">
        <w:rPr>
          <w:rFonts w:ascii="Times New Roman" w:hAnsi="Times New Roman" w:cs="Times New Roman"/>
          <w:color w:val="0070C0"/>
          <w:sz w:val="22"/>
          <w:szCs w:val="22"/>
        </w:rPr>
        <w:t xml:space="preserve">) от 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w:t>
      </w:r>
      <w:r w:rsidR="00FD78C5"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источнике для принятия к вычету сумм НДС (Информационное письмо №1),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4004A880" w14:textId="1D7DC28F" w:rsidR="003E7AE9" w:rsidRPr="00354AC2" w:rsidRDefault="003E7AE9" w:rsidP="00053E9D">
      <w:pPr>
        <w:pStyle w:val="ad"/>
        <w:tabs>
          <w:tab w:val="left" w:pos="2160"/>
        </w:tabs>
        <w:ind w:left="-709" w:firstLine="709"/>
        <w:jc w:val="both"/>
        <w:rPr>
          <w:rFonts w:ascii="Times New Roman" w:hAnsi="Times New Roman" w:cs="Times New Roman"/>
          <w:color w:val="0070C0"/>
          <w:sz w:val="22"/>
          <w:szCs w:val="22"/>
        </w:rPr>
      </w:pPr>
      <w:r w:rsidRPr="00354AC2">
        <w:rPr>
          <w:rFonts w:ascii="Times New Roman" w:hAnsi="Times New Roman" w:cs="Times New Roman"/>
          <w:color w:val="0070C0"/>
          <w:sz w:val="22"/>
          <w:szCs w:val="22"/>
        </w:rPr>
        <w:t xml:space="preserve">Исполнение обязательства, указанного в настоящем пункте, обеспечивается уменьшением суммы, подлежащей оплате Заказчиком </w:t>
      </w:r>
      <w:r w:rsidR="007A53A6" w:rsidRPr="00354AC2">
        <w:rPr>
          <w:rFonts w:ascii="Times New Roman" w:hAnsi="Times New Roman" w:cs="Times New Roman"/>
          <w:color w:val="0070C0"/>
          <w:sz w:val="22"/>
          <w:szCs w:val="22"/>
        </w:rPr>
        <w:t>Исполнителю</w:t>
      </w:r>
      <w:r w:rsidRPr="00354AC2">
        <w:rPr>
          <w:rFonts w:ascii="Times New Roman" w:hAnsi="Times New Roman" w:cs="Times New Roman"/>
          <w:color w:val="0070C0"/>
          <w:sz w:val="22"/>
          <w:szCs w:val="22"/>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7A53A6" w:rsidRPr="00354AC2">
        <w:rPr>
          <w:rFonts w:ascii="Times New Roman" w:hAnsi="Times New Roman" w:cs="Times New Roman"/>
          <w:color w:val="0070C0"/>
          <w:sz w:val="22"/>
          <w:szCs w:val="22"/>
        </w:rPr>
        <w:t>Исполнителя</w:t>
      </w:r>
      <w:r w:rsidRPr="00354AC2">
        <w:rPr>
          <w:rFonts w:ascii="Times New Roman" w:hAnsi="Times New Roman" w:cs="Times New Roman"/>
          <w:color w:val="0070C0"/>
          <w:sz w:val="22"/>
          <w:szCs w:val="22"/>
        </w:rPr>
        <w:t xml:space="preserve"> источника для применения вычета по НДС (далее – Информационное письмо №2). Если </w:t>
      </w:r>
      <w:r w:rsidR="007A53A6" w:rsidRPr="00354AC2">
        <w:rPr>
          <w:rFonts w:ascii="Times New Roman" w:hAnsi="Times New Roman" w:cs="Times New Roman"/>
          <w:color w:val="0070C0"/>
          <w:sz w:val="22"/>
          <w:szCs w:val="22"/>
        </w:rPr>
        <w:t>Исполнитель</w:t>
      </w:r>
      <w:r w:rsidRPr="00354AC2">
        <w:rPr>
          <w:rFonts w:ascii="Times New Roman" w:hAnsi="Times New Roman" w:cs="Times New Roman"/>
          <w:color w:val="0070C0"/>
          <w:sz w:val="22"/>
          <w:szCs w:val="22"/>
        </w:rPr>
        <w:t xml:space="preserve">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w:t>
      </w:r>
      <w:r w:rsidR="007A53A6" w:rsidRPr="00354AC2">
        <w:rPr>
          <w:rFonts w:ascii="Times New Roman" w:hAnsi="Times New Roman" w:cs="Times New Roman"/>
          <w:color w:val="0070C0"/>
          <w:sz w:val="22"/>
          <w:szCs w:val="22"/>
        </w:rPr>
        <w:t xml:space="preserve">Исполнителем </w:t>
      </w:r>
      <w:r w:rsidRPr="00354AC2">
        <w:rPr>
          <w:rFonts w:ascii="Times New Roman" w:hAnsi="Times New Roman" w:cs="Times New Roman"/>
          <w:color w:val="0070C0"/>
          <w:sz w:val="22"/>
          <w:szCs w:val="22"/>
        </w:rPr>
        <w:t xml:space="preserve">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DC10088" w14:textId="54966BA6" w:rsidR="003E7AE9" w:rsidRPr="00354AC2" w:rsidRDefault="003E7AE9" w:rsidP="007A53A6">
      <w:pPr>
        <w:pStyle w:val="Standard"/>
        <w:tabs>
          <w:tab w:val="left" w:pos="567"/>
          <w:tab w:val="left" w:pos="1593"/>
        </w:tabs>
        <w:ind w:left="-709" w:firstLine="709"/>
        <w:contextualSpacing/>
        <w:jc w:val="both"/>
        <w:rPr>
          <w:color w:val="0070C0"/>
          <w:sz w:val="22"/>
          <w:szCs w:val="22"/>
        </w:rPr>
      </w:pPr>
      <w:r w:rsidRPr="00354AC2">
        <w:rPr>
          <w:b/>
          <w:color w:val="0070C0"/>
          <w:sz w:val="22"/>
          <w:szCs w:val="22"/>
          <w:lang w:eastAsia="fr-FR"/>
        </w:rPr>
        <w:t>2.2.</w:t>
      </w:r>
      <w:r w:rsidR="007C4DE6" w:rsidRPr="00354AC2">
        <w:rPr>
          <w:b/>
          <w:color w:val="0070C0"/>
          <w:sz w:val="22"/>
          <w:szCs w:val="22"/>
          <w:lang w:eastAsia="fr-FR"/>
        </w:rPr>
        <w:t>3</w:t>
      </w:r>
      <w:r w:rsidRPr="00354AC2">
        <w:rPr>
          <w:b/>
          <w:color w:val="0070C0"/>
          <w:sz w:val="22"/>
          <w:szCs w:val="22"/>
          <w:lang w:eastAsia="fr-FR"/>
        </w:rPr>
        <w:t>.</w:t>
      </w:r>
      <w:r w:rsidRPr="00354AC2">
        <w:rPr>
          <w:color w:val="0070C0"/>
          <w:sz w:val="22"/>
          <w:szCs w:val="22"/>
          <w:lang w:eastAsia="fr-FR"/>
        </w:rPr>
        <w:tab/>
        <w:t>В случае, если по истечение срока, указанного в п. 2.2.</w:t>
      </w:r>
      <w:r w:rsidR="007C4DE6" w:rsidRPr="00354AC2">
        <w:rPr>
          <w:color w:val="0070C0"/>
          <w:sz w:val="22"/>
          <w:szCs w:val="22"/>
          <w:lang w:eastAsia="fr-FR"/>
        </w:rPr>
        <w:t>2</w:t>
      </w:r>
      <w:r w:rsidRPr="00354AC2">
        <w:rPr>
          <w:color w:val="0070C0"/>
          <w:sz w:val="22"/>
          <w:szCs w:val="22"/>
          <w:lang w:eastAsia="fr-FR"/>
        </w:rPr>
        <w:t xml:space="preserve">. настоящего </w:t>
      </w:r>
      <w:r w:rsidR="007A53A6" w:rsidRPr="00354AC2">
        <w:rPr>
          <w:color w:val="0070C0"/>
          <w:sz w:val="22"/>
          <w:szCs w:val="22"/>
          <w:lang w:eastAsia="fr-FR"/>
        </w:rPr>
        <w:t>Соглашения</w:t>
      </w:r>
      <w:r w:rsidRPr="00354AC2">
        <w:rPr>
          <w:color w:val="0070C0"/>
          <w:sz w:val="22"/>
          <w:szCs w:val="22"/>
          <w:lang w:eastAsia="fr-FR"/>
        </w:rPr>
        <w:t xml:space="preserve">, ситуация с несформированным по цепочке хозяйственных операций с участием </w:t>
      </w:r>
      <w:r w:rsidR="007A53A6" w:rsidRPr="00354AC2">
        <w:rPr>
          <w:color w:val="0070C0"/>
          <w:sz w:val="22"/>
          <w:szCs w:val="22"/>
          <w:lang w:eastAsia="fr-FR"/>
        </w:rPr>
        <w:t>Исполнителя</w:t>
      </w:r>
      <w:r w:rsidRPr="00354AC2">
        <w:rPr>
          <w:color w:val="0070C0"/>
          <w:sz w:val="22"/>
          <w:szCs w:val="22"/>
          <w:lang w:eastAsia="fr-FR"/>
        </w:rPr>
        <w:t xml:space="preserve"> источником для принятия к вычету сумм НДС не была урегулирована, что подтверждается </w:t>
      </w:r>
      <w:r w:rsidRPr="00354AC2">
        <w:rPr>
          <w:color w:val="0070C0"/>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7A53A6" w:rsidRPr="00354AC2">
        <w:rPr>
          <w:color w:val="0070C0"/>
          <w:sz w:val="22"/>
          <w:szCs w:val="22"/>
        </w:rPr>
        <w:t>Исполнителя</w:t>
      </w:r>
      <w:r w:rsidRPr="00354AC2">
        <w:rPr>
          <w:color w:val="0070C0"/>
          <w:sz w:val="22"/>
          <w:szCs w:val="22"/>
        </w:rPr>
        <w:t xml:space="preserve"> источника для применения вычета по НДС (Информационное письмо №2),  Заказчик вправе добровольно отказаться от </w:t>
      </w:r>
      <w:r w:rsidRPr="00354AC2">
        <w:rPr>
          <w:color w:val="0070C0"/>
          <w:sz w:val="22"/>
          <w:szCs w:val="22"/>
          <w:lang w:eastAsia="fr-FR"/>
        </w:rPr>
        <w:t>применения вычета по НДС</w:t>
      </w:r>
      <w:r w:rsidRPr="00354AC2">
        <w:rPr>
          <w:color w:val="0070C0"/>
          <w:sz w:val="22"/>
          <w:szCs w:val="22"/>
        </w:rPr>
        <w:t xml:space="preserve"> по операциям, совершенным в рамках Договора, полностью или в части, в пределах сумм НДС, уплаченного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 xml:space="preserve">работ по Договору за соответствующий период или в пределах сумм несформированного источника для применения вычета по НДС, уплаченному Заказчиком </w:t>
      </w:r>
      <w:r w:rsidR="007A53A6" w:rsidRPr="00354AC2">
        <w:rPr>
          <w:color w:val="0070C0"/>
          <w:sz w:val="22"/>
          <w:szCs w:val="22"/>
        </w:rPr>
        <w:t>Исполнителю</w:t>
      </w:r>
      <w:r w:rsidRPr="00354AC2">
        <w:rPr>
          <w:color w:val="0070C0"/>
          <w:sz w:val="22"/>
          <w:szCs w:val="22"/>
        </w:rPr>
        <w:t xml:space="preserve"> в цене </w:t>
      </w:r>
      <w:r w:rsidR="007A53A6" w:rsidRPr="00354AC2">
        <w:rPr>
          <w:color w:val="0070C0"/>
          <w:sz w:val="22"/>
          <w:szCs w:val="22"/>
        </w:rPr>
        <w:t>услуг/</w:t>
      </w:r>
      <w:r w:rsidRPr="00354AC2">
        <w:rPr>
          <w:color w:val="0070C0"/>
          <w:sz w:val="22"/>
          <w:szCs w:val="22"/>
        </w:rPr>
        <w:t>работ по Договору, в случае указания таковой в Информационном письме №2.</w:t>
      </w:r>
    </w:p>
    <w:p w14:paraId="403E2691" w14:textId="69F554D8"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proofErr w:type="spellStart"/>
      <w:r w:rsidRPr="00354AC2">
        <w:rPr>
          <w:color w:val="0070C0"/>
          <w:sz w:val="22"/>
          <w:szCs w:val="22"/>
        </w:rPr>
        <w:t>Непримененная</w:t>
      </w:r>
      <w:proofErr w:type="spellEnd"/>
      <w:r w:rsidRPr="00354AC2">
        <w:rPr>
          <w:color w:val="0070C0"/>
          <w:sz w:val="22"/>
          <w:szCs w:val="22"/>
        </w:rPr>
        <w:t xml:space="preserve"> Заказчиком в таком случае налоговая выгода по операциям с </w:t>
      </w:r>
      <w:r w:rsidR="007A53A6" w:rsidRPr="00354AC2">
        <w:rPr>
          <w:color w:val="0070C0"/>
          <w:sz w:val="22"/>
          <w:szCs w:val="22"/>
        </w:rPr>
        <w:t>Исполнителем</w:t>
      </w:r>
      <w:r w:rsidRPr="00354AC2">
        <w:rPr>
          <w:color w:val="0070C0"/>
          <w:sz w:val="22"/>
          <w:szCs w:val="22"/>
        </w:rPr>
        <w:t xml:space="preserve"> признается сторонами имущественной потерей Заказчика, подлежащей возмещению </w:t>
      </w:r>
      <w:r w:rsidR="007A53A6" w:rsidRPr="00354AC2">
        <w:rPr>
          <w:color w:val="0070C0"/>
          <w:sz w:val="22"/>
          <w:szCs w:val="22"/>
        </w:rPr>
        <w:t>Исполнителем</w:t>
      </w:r>
      <w:r w:rsidRPr="00354AC2">
        <w:rPr>
          <w:color w:val="0070C0"/>
          <w:sz w:val="22"/>
          <w:szCs w:val="22"/>
        </w:rPr>
        <w:t xml:space="preserve">. </w:t>
      </w:r>
    </w:p>
    <w:p w14:paraId="2B5A5541" w14:textId="0CE1784C" w:rsidR="003E7AE9" w:rsidRPr="00354AC2" w:rsidRDefault="003E7AE9" w:rsidP="00053E9D">
      <w:pPr>
        <w:pStyle w:val="Standard"/>
        <w:tabs>
          <w:tab w:val="left" w:pos="1276"/>
          <w:tab w:val="left" w:pos="1593"/>
        </w:tabs>
        <w:ind w:left="-709" w:firstLine="709"/>
        <w:contextualSpacing/>
        <w:jc w:val="both"/>
        <w:rPr>
          <w:color w:val="0070C0"/>
          <w:sz w:val="22"/>
          <w:szCs w:val="22"/>
          <w:lang w:eastAsia="fr-FR"/>
        </w:rPr>
      </w:pPr>
      <w:r w:rsidRPr="00354AC2">
        <w:rPr>
          <w:color w:val="0070C0"/>
          <w:sz w:val="22"/>
          <w:szCs w:val="22"/>
          <w:lang w:eastAsia="fr-FR"/>
        </w:rPr>
        <w:lastRenderedPageBreak/>
        <w:t xml:space="preserve">Стороны заранее оценили размер имущественных потерь, которые </w:t>
      </w:r>
      <w:r w:rsidR="00CC7B2E" w:rsidRPr="00354AC2">
        <w:rPr>
          <w:color w:val="0070C0"/>
          <w:sz w:val="22"/>
          <w:szCs w:val="22"/>
          <w:lang w:eastAsia="fr-FR"/>
        </w:rPr>
        <w:t xml:space="preserve">Исполнитель </w:t>
      </w:r>
      <w:r w:rsidRPr="00354AC2">
        <w:rPr>
          <w:color w:val="0070C0"/>
          <w:sz w:val="22"/>
          <w:szCs w:val="22"/>
          <w:lang w:eastAsia="fr-FR"/>
        </w:rPr>
        <w:t xml:space="preserve">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54AC2">
        <w:rPr>
          <w:color w:val="0070C0"/>
          <w:sz w:val="22"/>
          <w:szCs w:val="22"/>
        </w:rPr>
        <w:t xml:space="preserve">сумме НДС, исключенной Заказчиком из вычетов по операциям с </w:t>
      </w:r>
      <w:r w:rsidR="00CC7B2E" w:rsidRPr="00354AC2">
        <w:rPr>
          <w:color w:val="0070C0"/>
          <w:sz w:val="22"/>
          <w:szCs w:val="22"/>
        </w:rPr>
        <w:t>Исполнителем</w:t>
      </w:r>
      <w:r w:rsidRPr="00354AC2">
        <w:rPr>
          <w:color w:val="0070C0"/>
          <w:sz w:val="22"/>
          <w:szCs w:val="22"/>
        </w:rPr>
        <w:t>,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43856A84" w14:textId="5F929A0F" w:rsidR="003E7AE9" w:rsidRPr="00354AC2" w:rsidRDefault="003E7AE9" w:rsidP="00CC7B2E">
      <w:pPr>
        <w:pStyle w:val="Standard"/>
        <w:tabs>
          <w:tab w:val="left" w:pos="567"/>
          <w:tab w:val="left" w:pos="1593"/>
        </w:tabs>
        <w:ind w:left="-709" w:firstLine="709"/>
        <w:contextualSpacing/>
        <w:jc w:val="both"/>
        <w:rPr>
          <w:color w:val="0070C0"/>
          <w:sz w:val="22"/>
          <w:szCs w:val="22"/>
          <w:lang w:eastAsia="fr-FR"/>
        </w:rPr>
      </w:pPr>
      <w:r w:rsidRPr="00354AC2">
        <w:rPr>
          <w:b/>
          <w:color w:val="0070C0"/>
          <w:sz w:val="22"/>
          <w:szCs w:val="22"/>
          <w:lang w:eastAsia="fr-FR"/>
        </w:rPr>
        <w:t>2.2.</w:t>
      </w:r>
      <w:r w:rsidR="007C4DE6" w:rsidRPr="00354AC2">
        <w:rPr>
          <w:b/>
          <w:color w:val="0070C0"/>
          <w:sz w:val="22"/>
          <w:szCs w:val="22"/>
          <w:lang w:eastAsia="fr-FR"/>
        </w:rPr>
        <w:t>4</w:t>
      </w:r>
      <w:r w:rsidRPr="00354AC2">
        <w:rPr>
          <w:b/>
          <w:color w:val="0070C0"/>
          <w:sz w:val="22"/>
          <w:szCs w:val="22"/>
          <w:lang w:eastAsia="fr-FR"/>
        </w:rPr>
        <w:t>.</w:t>
      </w:r>
      <w:r w:rsidRPr="00354AC2">
        <w:rPr>
          <w:b/>
          <w:color w:val="0070C0"/>
          <w:sz w:val="22"/>
          <w:szCs w:val="22"/>
          <w:lang w:eastAsia="fr-FR"/>
        </w:rPr>
        <w:tab/>
      </w:r>
      <w:r w:rsidRPr="00354AC2">
        <w:rPr>
          <w:color w:val="0070C0"/>
          <w:sz w:val="22"/>
          <w:szCs w:val="22"/>
          <w:lang w:eastAsia="fr-FR"/>
        </w:rPr>
        <w:t xml:space="preserve">Для подтверждения факта наступления обстоятельств, с которыми Стороны связывают обязанность </w:t>
      </w:r>
      <w:r w:rsidR="00513EBB" w:rsidRPr="00354AC2">
        <w:rPr>
          <w:color w:val="0070C0"/>
          <w:sz w:val="22"/>
          <w:szCs w:val="22"/>
          <w:lang w:eastAsia="fr-FR"/>
        </w:rPr>
        <w:t>Исполнителя</w:t>
      </w:r>
      <w:r w:rsidRPr="00354AC2">
        <w:rPr>
          <w:color w:val="0070C0"/>
          <w:sz w:val="22"/>
          <w:szCs w:val="22"/>
          <w:lang w:eastAsia="fr-FR"/>
        </w:rPr>
        <w:t xml:space="preserve"> возместить имущественные потери Заказчика, согласно пункту 2.2. настоящего </w:t>
      </w:r>
      <w:r w:rsidR="00513EBB" w:rsidRPr="00354AC2">
        <w:rPr>
          <w:color w:val="0070C0"/>
          <w:sz w:val="22"/>
          <w:szCs w:val="22"/>
          <w:lang w:eastAsia="fr-FR"/>
        </w:rPr>
        <w:t>Соглашения</w:t>
      </w:r>
      <w:r w:rsidRPr="00354AC2">
        <w:rPr>
          <w:color w:val="0070C0"/>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 взаимоотношениям с </w:t>
      </w:r>
      <w:r w:rsidR="00513EBB" w:rsidRPr="00354AC2">
        <w:rPr>
          <w:color w:val="0070C0"/>
          <w:sz w:val="22"/>
          <w:szCs w:val="22"/>
          <w:lang w:eastAsia="fr-FR"/>
        </w:rPr>
        <w:t>Исполнителем</w:t>
      </w:r>
      <w:r w:rsidRPr="00354AC2">
        <w:rPr>
          <w:color w:val="0070C0"/>
          <w:sz w:val="22"/>
          <w:szCs w:val="22"/>
          <w:lang w:eastAsia="fr-FR"/>
        </w:rPr>
        <w:t xml:space="preserve"> считается урегулированной для Заказчика в связи с подачей последним уточненной налоговой декларации, исключением из вычетов соответствующей </w:t>
      </w:r>
      <w:r w:rsidR="00513EBB" w:rsidRPr="00354AC2">
        <w:rPr>
          <w:color w:val="0070C0"/>
          <w:sz w:val="22"/>
          <w:szCs w:val="22"/>
          <w:lang w:eastAsia="fr-FR"/>
        </w:rPr>
        <w:t>суммы НДС по взаимоотношениям с Исполнителем</w:t>
      </w:r>
      <w:r w:rsidRPr="00354AC2">
        <w:rPr>
          <w:color w:val="0070C0"/>
          <w:sz w:val="22"/>
          <w:szCs w:val="22"/>
          <w:lang w:eastAsia="fr-FR"/>
        </w:rPr>
        <w:t xml:space="preserve"> (или не заявлением к вычету соответствующих сумм НДС </w:t>
      </w:r>
      <w:r w:rsidR="00513EBB" w:rsidRPr="00354AC2">
        <w:rPr>
          <w:color w:val="0070C0"/>
          <w:sz w:val="22"/>
          <w:szCs w:val="22"/>
          <w:lang w:eastAsia="fr-FR"/>
        </w:rPr>
        <w:t>по операциям с Исполнителем</w:t>
      </w:r>
      <w:r w:rsidRPr="00354AC2">
        <w:rPr>
          <w:color w:val="0070C0"/>
          <w:sz w:val="22"/>
          <w:szCs w:val="22"/>
          <w:lang w:eastAsia="fr-FR"/>
        </w:rPr>
        <w:t xml:space="preserve">), при этом для </w:t>
      </w:r>
      <w:r w:rsidR="00513EBB" w:rsidRPr="00354AC2">
        <w:rPr>
          <w:color w:val="0070C0"/>
          <w:sz w:val="22"/>
          <w:szCs w:val="22"/>
          <w:lang w:eastAsia="fr-FR"/>
        </w:rPr>
        <w:t>Исполнителя</w:t>
      </w:r>
      <w:r w:rsidRPr="00354AC2">
        <w:rPr>
          <w:color w:val="0070C0"/>
          <w:sz w:val="22"/>
          <w:szCs w:val="22"/>
          <w:lang w:eastAsia="fr-FR"/>
        </w:rPr>
        <w:t xml:space="preserve"> ситуация считается неурегулированной (далее – Информационное письмо №3).</w:t>
      </w:r>
    </w:p>
    <w:p w14:paraId="705423DD" w14:textId="59226709" w:rsidR="003E7AE9" w:rsidRPr="00C76E00" w:rsidRDefault="003E7AE9" w:rsidP="00513EBB">
      <w:pPr>
        <w:pStyle w:val="Standard"/>
        <w:tabs>
          <w:tab w:val="left" w:pos="426"/>
          <w:tab w:val="left" w:pos="1593"/>
        </w:tabs>
        <w:ind w:left="-709" w:firstLine="709"/>
        <w:contextualSpacing/>
        <w:jc w:val="both"/>
        <w:rPr>
          <w:sz w:val="22"/>
          <w:szCs w:val="22"/>
          <w:lang w:eastAsia="fr-FR"/>
        </w:rPr>
      </w:pPr>
      <w:r w:rsidRPr="00E44A90">
        <w:rPr>
          <w:b/>
          <w:sz w:val="22"/>
          <w:szCs w:val="22"/>
          <w:lang w:eastAsia="fr-FR"/>
        </w:rPr>
        <w:t>2.3.</w:t>
      </w:r>
      <w:r w:rsidRPr="00C76E00">
        <w:rPr>
          <w:sz w:val="22"/>
          <w:szCs w:val="22"/>
          <w:lang w:eastAsia="fr-FR"/>
        </w:rPr>
        <w:tab/>
      </w:r>
      <w:r w:rsidR="00513EBB">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sidR="009B6973">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sidR="009B6973">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sidR="007C4DE6">
        <w:rPr>
          <w:sz w:val="22"/>
          <w:szCs w:val="22"/>
          <w:lang w:eastAsia="fr-FR"/>
        </w:rPr>
        <w:t>4</w:t>
      </w:r>
      <w:r w:rsidRPr="00C76E00">
        <w:rPr>
          <w:sz w:val="22"/>
          <w:szCs w:val="22"/>
          <w:lang w:eastAsia="fr-FR"/>
        </w:rPr>
        <w:t xml:space="preserve">. настоящего </w:t>
      </w:r>
      <w:r w:rsidR="009B6973">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sidR="009B6973">
        <w:rPr>
          <w:sz w:val="22"/>
          <w:szCs w:val="22"/>
          <w:lang w:eastAsia="fr-FR"/>
        </w:rPr>
        <w:t>Соглашения</w:t>
      </w:r>
      <w:r w:rsidRPr="00C76E00">
        <w:rPr>
          <w:sz w:val="22"/>
          <w:szCs w:val="22"/>
          <w:lang w:eastAsia="fr-FR"/>
        </w:rPr>
        <w:t>.</w:t>
      </w:r>
    </w:p>
    <w:p w14:paraId="66F0D449" w14:textId="6D7BE3E1" w:rsidR="003E7AE9" w:rsidRPr="00C76E00" w:rsidRDefault="003E7AE9" w:rsidP="009B6973">
      <w:pPr>
        <w:pStyle w:val="Standard"/>
        <w:tabs>
          <w:tab w:val="left" w:pos="426"/>
          <w:tab w:val="left" w:pos="1276"/>
        </w:tabs>
        <w:ind w:left="-709" w:firstLine="709"/>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sidR="009B6973">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sidR="009B6973">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sidR="009B6973">
        <w:rPr>
          <w:sz w:val="22"/>
          <w:szCs w:val="22"/>
          <w:lang w:eastAsia="fr-FR"/>
        </w:rPr>
        <w:t>Исполнителю</w:t>
      </w:r>
      <w:r w:rsidRPr="00C76E00">
        <w:rPr>
          <w:sz w:val="22"/>
          <w:szCs w:val="22"/>
          <w:lang w:eastAsia="fr-FR"/>
        </w:rPr>
        <w:t>.</w:t>
      </w:r>
    </w:p>
    <w:p w14:paraId="400CF03A" w14:textId="39CF6E22" w:rsidR="003E7AE9" w:rsidRPr="003E7AE9" w:rsidRDefault="003E7AE9" w:rsidP="009B6973">
      <w:pPr>
        <w:pStyle w:val="ad"/>
        <w:tabs>
          <w:tab w:val="left" w:pos="426"/>
        </w:tabs>
        <w:ind w:left="-709" w:firstLine="709"/>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sidR="009B6973">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возврату Заказчиком в случаях:</w:t>
      </w:r>
    </w:p>
    <w:p w14:paraId="4B68B6A3" w14:textId="77777777" w:rsidR="003E7AE9" w:rsidRPr="003E7AE9" w:rsidRDefault="003E7AE9" w:rsidP="00053E9D">
      <w:pPr>
        <w:pStyle w:val="ad"/>
        <w:tabs>
          <w:tab w:val="left" w:pos="1440"/>
        </w:tabs>
        <w:ind w:left="-709" w:firstLine="709"/>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0B3375B1" w14:textId="271704A5" w:rsidR="003E7AE9" w:rsidRPr="00354AC2" w:rsidRDefault="003E7AE9" w:rsidP="00053E9D">
      <w:pPr>
        <w:pStyle w:val="ad"/>
        <w:tabs>
          <w:tab w:val="left" w:pos="1440"/>
        </w:tabs>
        <w:ind w:left="-709" w:firstLine="709"/>
        <w:jc w:val="both"/>
        <w:rPr>
          <w:rFonts w:ascii="Times New Roman" w:hAnsi="Times New Roman" w:cs="Times New Roman"/>
          <w:color w:val="0070C0"/>
          <w:sz w:val="22"/>
          <w:szCs w:val="22"/>
          <w:lang w:eastAsia="x-none"/>
        </w:rPr>
      </w:pPr>
      <w:r w:rsidRPr="00354AC2">
        <w:rPr>
          <w:rFonts w:ascii="Times New Roman" w:hAnsi="Times New Roman" w:cs="Times New Roman"/>
          <w:color w:val="0070C0"/>
          <w:sz w:val="22"/>
          <w:szCs w:val="22"/>
          <w:lang w:eastAsia="x-none"/>
        </w:rPr>
        <w:t xml:space="preserve">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w:t>
      </w:r>
      <w:r w:rsidR="009B6973" w:rsidRPr="00354AC2">
        <w:rPr>
          <w:rFonts w:ascii="Times New Roman" w:hAnsi="Times New Roman" w:cs="Times New Roman"/>
          <w:color w:val="0070C0"/>
          <w:sz w:val="22"/>
          <w:szCs w:val="22"/>
          <w:lang w:eastAsia="x-none"/>
        </w:rPr>
        <w:t>Исполнителем</w:t>
      </w:r>
      <w:r w:rsidRPr="00354AC2">
        <w:rPr>
          <w:rFonts w:ascii="Times New Roman" w:hAnsi="Times New Roman" w:cs="Times New Roman"/>
          <w:color w:val="0070C0"/>
          <w:sz w:val="22"/>
          <w:szCs w:val="22"/>
          <w:lang w:eastAsia="x-none"/>
        </w:rPr>
        <w:t>, что должно быть подтверждено соответствующим Информационным письмом налогового органа;</w:t>
      </w:r>
    </w:p>
    <w:p w14:paraId="5036BF0C" w14:textId="1113CCED" w:rsidR="003E7AE9" w:rsidRPr="00354AC2" w:rsidRDefault="003E7AE9" w:rsidP="00053E9D">
      <w:pPr>
        <w:pStyle w:val="ad"/>
        <w:widowControl/>
        <w:pBdr>
          <w:top w:val="nil"/>
          <w:left w:val="nil"/>
          <w:bottom w:val="nil"/>
          <w:right w:val="nil"/>
          <w:between w:val="nil"/>
        </w:pBdr>
        <w:tabs>
          <w:tab w:val="left" w:pos="3402"/>
        </w:tabs>
        <w:ind w:left="-709" w:firstLine="709"/>
        <w:jc w:val="both"/>
        <w:rPr>
          <w:rFonts w:ascii="Times New Roman" w:eastAsia="Times New Roman" w:hAnsi="Times New Roman" w:cs="Times New Roman"/>
          <w:color w:val="0070C0"/>
          <w:sz w:val="22"/>
          <w:szCs w:val="22"/>
        </w:rPr>
      </w:pPr>
      <w:r w:rsidRPr="00354AC2">
        <w:rPr>
          <w:rFonts w:ascii="Times New Roman" w:eastAsia="Times New Roman" w:hAnsi="Times New Roman" w:cs="Times New Roman"/>
          <w:color w:val="0070C0"/>
          <w:sz w:val="22"/>
          <w:szCs w:val="22"/>
        </w:rPr>
        <w:t xml:space="preserve">прекращение действия обстоятельств, согласованных в настоящем </w:t>
      </w:r>
      <w:r w:rsidR="009B6973" w:rsidRPr="00354AC2">
        <w:rPr>
          <w:rFonts w:ascii="Times New Roman" w:eastAsia="Times New Roman" w:hAnsi="Times New Roman" w:cs="Times New Roman"/>
          <w:color w:val="0070C0"/>
          <w:sz w:val="22"/>
          <w:szCs w:val="22"/>
        </w:rPr>
        <w:t>Соглашении</w:t>
      </w:r>
      <w:r w:rsidRPr="00354AC2">
        <w:rPr>
          <w:rFonts w:ascii="Times New Roman" w:eastAsia="Times New Roman" w:hAnsi="Times New Roman" w:cs="Times New Roman"/>
          <w:color w:val="0070C0"/>
          <w:sz w:val="22"/>
          <w:szCs w:val="22"/>
        </w:rPr>
        <w:t xml:space="preserve">, как основание для возмещения </w:t>
      </w:r>
      <w:r w:rsidR="009B6973" w:rsidRPr="00354AC2">
        <w:rPr>
          <w:rFonts w:ascii="Times New Roman" w:eastAsia="Times New Roman" w:hAnsi="Times New Roman" w:cs="Times New Roman"/>
          <w:color w:val="0070C0"/>
          <w:sz w:val="22"/>
          <w:szCs w:val="22"/>
        </w:rPr>
        <w:t>Исполнителем</w:t>
      </w:r>
      <w:r w:rsidRPr="00354AC2">
        <w:rPr>
          <w:rFonts w:ascii="Times New Roman" w:eastAsia="Times New Roman" w:hAnsi="Times New Roman" w:cs="Times New Roman"/>
          <w:color w:val="0070C0"/>
          <w:sz w:val="22"/>
          <w:szCs w:val="22"/>
        </w:rPr>
        <w:t xml:space="preserve"> им</w:t>
      </w:r>
      <w:r w:rsidR="009B6973" w:rsidRPr="00354AC2">
        <w:rPr>
          <w:rFonts w:ascii="Times New Roman" w:eastAsia="Times New Roman" w:hAnsi="Times New Roman" w:cs="Times New Roman"/>
          <w:color w:val="0070C0"/>
          <w:sz w:val="22"/>
          <w:szCs w:val="22"/>
        </w:rPr>
        <w:t>ущественных потерь, понесенных Заказчиком</w:t>
      </w:r>
      <w:r w:rsidRPr="00354AC2">
        <w:rPr>
          <w:rFonts w:ascii="Times New Roman" w:eastAsia="Times New Roman" w:hAnsi="Times New Roman" w:cs="Times New Roman"/>
          <w:color w:val="0070C0"/>
          <w:sz w:val="22"/>
          <w:szCs w:val="22"/>
        </w:rPr>
        <w:t>.</w:t>
      </w:r>
    </w:p>
    <w:p w14:paraId="5F4C0E97" w14:textId="34AEE172" w:rsidR="003E7AE9" w:rsidRPr="00C76E00" w:rsidRDefault="003E7AE9" w:rsidP="009B6973">
      <w:pPr>
        <w:pStyle w:val="Standard"/>
        <w:tabs>
          <w:tab w:val="left" w:pos="426"/>
          <w:tab w:val="left" w:pos="1593"/>
        </w:tabs>
        <w:ind w:left="-709" w:firstLine="709"/>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sidR="009B6973">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sidR="009B6973">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sidR="009B6973">
        <w:rPr>
          <w:sz w:val="22"/>
          <w:szCs w:val="22"/>
          <w:lang w:eastAsia="fr-FR"/>
        </w:rPr>
        <w:t>Соглашения</w:t>
      </w:r>
      <w:r w:rsidRPr="00C76E00">
        <w:rPr>
          <w:sz w:val="22"/>
          <w:szCs w:val="22"/>
          <w:lang w:eastAsia="fr-FR"/>
        </w:rPr>
        <w:t>.</w:t>
      </w:r>
    </w:p>
    <w:p w14:paraId="1B668A8A" w14:textId="53F96FA2" w:rsidR="00F77C88" w:rsidRDefault="009B6973"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053E9D">
      <w:pPr>
        <w:widowControl/>
        <w:pBdr>
          <w:top w:val="nil"/>
          <w:left w:val="nil"/>
          <w:bottom w:val="nil"/>
          <w:right w:val="nil"/>
          <w:between w:val="nil"/>
        </w:pBdr>
        <w:tabs>
          <w:tab w:val="left" w:pos="284"/>
        </w:tabs>
        <w:ind w:left="-709"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pPr>
        <w:widowControl/>
        <w:pBdr>
          <w:top w:val="nil"/>
          <w:left w:val="nil"/>
          <w:bottom w:val="nil"/>
          <w:right w:val="nil"/>
          <w:between w:val="nil"/>
        </w:pBdr>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pPr>
        <w:pBdr>
          <w:top w:val="nil"/>
          <w:left w:val="nil"/>
          <w:bottom w:val="nil"/>
          <w:right w:val="nil"/>
          <w:between w:val="nil"/>
        </w:pBdr>
        <w:tabs>
          <w:tab w:val="left" w:pos="722"/>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572254D4" w14:textId="548B17EB" w:rsidR="00F77C88" w:rsidRDefault="009B6973">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B1D2FBE" w14:textId="77777777" w:rsidR="00F77C88" w:rsidRDefault="00F77C88">
      <w:pPr>
        <w:pBdr>
          <w:top w:val="nil"/>
          <w:left w:val="nil"/>
          <w:bottom w:val="nil"/>
          <w:right w:val="nil"/>
          <w:between w:val="nil"/>
        </w:pBdr>
        <w:spacing w:before="150"/>
        <w:ind w:left="150" w:right="150"/>
        <w:jc w:val="right"/>
        <w:rPr>
          <w:rFonts w:ascii="Times New Roman" w:eastAsia="Times New Roman" w:hAnsi="Times New Roman" w:cs="Times New Roman"/>
          <w:color w:val="000000"/>
          <w:sz w:val="22"/>
          <w:szCs w:val="22"/>
        </w:rPr>
      </w:pPr>
    </w:p>
    <w:p w14:paraId="09BD66FD"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224BF0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16C0E4C2"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11493F6"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D7D01A9"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0FB57A34"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401DD8A5"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540D1987" w14:textId="77777777" w:rsidR="00F77C88" w:rsidRDefault="00F77C88">
      <w:pPr>
        <w:pBdr>
          <w:top w:val="nil"/>
          <w:left w:val="nil"/>
          <w:bottom w:val="nil"/>
          <w:right w:val="nil"/>
          <w:between w:val="nil"/>
        </w:pBdr>
        <w:ind w:left="150" w:right="150"/>
        <w:jc w:val="right"/>
        <w:rPr>
          <w:rFonts w:ascii="Times New Roman" w:eastAsia="Times New Roman" w:hAnsi="Times New Roman" w:cs="Times New Roman"/>
          <w:color w:val="000000"/>
          <w:sz w:val="22"/>
          <w:szCs w:val="22"/>
        </w:rPr>
      </w:pPr>
    </w:p>
    <w:p w14:paraId="6FB6B15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EBF79A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ABDEE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369323D4"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5D242AC"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54A55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057C0D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8CCCF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074FC9E" w14:textId="77777777" w:rsidR="009713D1" w:rsidRDefault="009713D1" w:rsidP="009713D1">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9713D1">
      <w:pPr>
        <w:ind w:left="143" w:right="104"/>
        <w:jc w:val="center"/>
        <w:rPr>
          <w:rFonts w:ascii="Times New Roman" w:eastAsia="Times New Roman" w:hAnsi="Times New Roman" w:cs="Times New Roman"/>
          <w:sz w:val="22"/>
          <w:szCs w:val="22"/>
          <w:u w:val="single"/>
        </w:rPr>
      </w:pPr>
    </w:p>
    <w:p w14:paraId="61E615D9" w14:textId="77777777" w:rsidR="009713D1" w:rsidRDefault="009713D1" w:rsidP="009713D1">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CA214C">
        <w:tc>
          <w:tcPr>
            <w:tcW w:w="4660" w:type="dxa"/>
            <w:shd w:val="clear" w:color="auto" w:fill="auto"/>
          </w:tcPr>
          <w:p w14:paraId="52E106DD"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CA214C">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9713D1" w14:paraId="1D2C1336" w14:textId="77777777" w:rsidTr="00CA214C">
        <w:trPr>
          <w:trHeight w:val="339"/>
        </w:trPr>
        <w:tc>
          <w:tcPr>
            <w:tcW w:w="4660" w:type="dxa"/>
            <w:shd w:val="clear" w:color="auto" w:fill="auto"/>
          </w:tcPr>
          <w:p w14:paraId="38B4018B" w14:textId="77777777" w:rsidR="009713D1" w:rsidRDefault="009713D1" w:rsidP="00CA214C">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AC0E4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1FABCEDF" w14:textId="77777777" w:rsidR="009713D1" w:rsidRDefault="009713D1" w:rsidP="00CA214C">
            <w:pPr>
              <w:pBdr>
                <w:top w:val="nil"/>
                <w:left w:val="nil"/>
                <w:bottom w:val="nil"/>
                <w:right w:val="nil"/>
                <w:between w:val="nil"/>
              </w:pBdr>
              <w:rPr>
                <w:rFonts w:ascii="Times New Roman" w:eastAsia="Times New Roman" w:hAnsi="Times New Roman" w:cs="Times New Roman"/>
                <w:b/>
                <w:color w:val="000000"/>
                <w:sz w:val="22"/>
                <w:szCs w:val="22"/>
              </w:rPr>
            </w:pPr>
          </w:p>
        </w:tc>
      </w:tr>
      <w:tr w:rsidR="009713D1" w14:paraId="444E2109" w14:textId="77777777" w:rsidTr="00CA214C">
        <w:tc>
          <w:tcPr>
            <w:tcW w:w="4660" w:type="dxa"/>
            <w:shd w:val="clear" w:color="auto" w:fill="auto"/>
          </w:tcPr>
          <w:p w14:paraId="3EE9BC0F"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CA214C">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9713D1">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p w14:paraId="51A0250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7B96B18"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6F4E1A42"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2524C1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A3CE5D7"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D4A55C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7C88F20"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427996F"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2E363D3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1D77DF5"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308206E"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164F90BD"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05705371"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13DD30B"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7BD62149" w14:textId="77777777" w:rsidR="009713D1" w:rsidRDefault="009713D1">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p>
    <w:p w14:paraId="4F98F4A4" w14:textId="7C7CFDA2" w:rsidR="00F77C88" w:rsidRDefault="00B66A32">
      <w:pPr>
        <w:pBdr>
          <w:top w:val="nil"/>
          <w:left w:val="nil"/>
          <w:bottom w:val="nil"/>
          <w:right w:val="nil"/>
          <w:between w:val="nil"/>
        </w:pBdr>
        <w:spacing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Приложение № 1 </w:t>
      </w:r>
    </w:p>
    <w:p w14:paraId="39EE1A56" w14:textId="71B3C5CC"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772153D4" w14:textId="5499D0A5" w:rsidR="00F04BF1" w:rsidRDefault="00F04BF1" w:rsidP="0023617B">
      <w:pPr>
        <w:rPr>
          <w:rFonts w:ascii="Times New Roman" w:eastAsia="Times New Roman" w:hAnsi="Times New Roman" w:cs="Times New Roman"/>
          <w:sz w:val="22"/>
          <w:szCs w:val="22"/>
        </w:rPr>
      </w:pPr>
    </w:p>
    <w:p w14:paraId="2BE621AF" w14:textId="1C78ED5B" w:rsidR="00F04BF1" w:rsidRDefault="00F04BF1">
      <w:pPr>
        <w:jc w:val="right"/>
        <w:rPr>
          <w:rFonts w:ascii="Times New Roman" w:eastAsia="Times New Roman" w:hAnsi="Times New Roman" w:cs="Times New Roman"/>
          <w:sz w:val="22"/>
          <w:szCs w:val="22"/>
        </w:rPr>
      </w:pPr>
      <w:r w:rsidRPr="00F04BF1">
        <w:rPr>
          <w:noProof/>
        </w:rPr>
        <w:drawing>
          <wp:inline distT="0" distB="0" distL="0" distR="0" wp14:anchorId="174E705C" wp14:editId="4CAD8C98">
            <wp:extent cx="5940425" cy="82619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61985"/>
                    </a:xfrm>
                    <a:prstGeom prst="rect">
                      <a:avLst/>
                    </a:prstGeom>
                    <a:noFill/>
                    <a:ln>
                      <a:noFill/>
                    </a:ln>
                  </pic:spPr>
                </pic:pic>
              </a:graphicData>
            </a:graphic>
          </wp:inline>
        </w:drawing>
      </w:r>
    </w:p>
    <w:p w14:paraId="054E0352" w14:textId="058AE24D" w:rsidR="005F4C53" w:rsidRDefault="005F4C53">
      <w:pPr>
        <w:jc w:val="right"/>
        <w:rPr>
          <w:rFonts w:ascii="Times New Roman" w:eastAsia="Times New Roman" w:hAnsi="Times New Roman" w:cs="Times New Roman"/>
          <w:sz w:val="22"/>
          <w:szCs w:val="22"/>
        </w:rPr>
      </w:pPr>
    </w:p>
    <w:p w14:paraId="59FB2FEA" w14:textId="10F8EDA4" w:rsidR="005F4C53" w:rsidRDefault="005F4C53">
      <w:pPr>
        <w:jc w:val="right"/>
        <w:rPr>
          <w:rFonts w:ascii="Times New Roman" w:eastAsia="Times New Roman" w:hAnsi="Times New Roman" w:cs="Times New Roman"/>
          <w:sz w:val="22"/>
          <w:szCs w:val="22"/>
        </w:rPr>
      </w:pPr>
    </w:p>
    <w:p w14:paraId="6D2C71DF" w14:textId="5E8AF820" w:rsidR="00F77C88" w:rsidRDefault="00F77C88">
      <w:pPr>
        <w:jc w:val="right"/>
        <w:rPr>
          <w:rFonts w:ascii="Times New Roman" w:eastAsia="Times New Roman" w:hAnsi="Times New Roman" w:cs="Times New Roman"/>
          <w:sz w:val="22"/>
          <w:szCs w:val="22"/>
        </w:rPr>
      </w:pPr>
    </w:p>
    <w:p w14:paraId="55108BE0" w14:textId="77777777" w:rsidR="00840CDA" w:rsidRDefault="00840CDA" w:rsidP="007560CB">
      <w:pPr>
        <w:pBdr>
          <w:top w:val="nil"/>
          <w:left w:val="nil"/>
          <w:bottom w:val="nil"/>
          <w:right w:val="nil"/>
          <w:between w:val="nil"/>
        </w:pBdr>
        <w:spacing w:after="150"/>
        <w:rPr>
          <w:rFonts w:ascii="Times New Roman" w:eastAsia="Times New Roman" w:hAnsi="Times New Roman" w:cs="Times New Roman"/>
          <w:color w:val="000000"/>
          <w:sz w:val="22"/>
          <w:szCs w:val="22"/>
        </w:rPr>
      </w:pPr>
    </w:p>
    <w:p w14:paraId="648391AB" w14:textId="77777777" w:rsidR="00287481" w:rsidRDefault="00287481" w:rsidP="00287481">
      <w:pPr>
        <w:pStyle w:val="aa"/>
        <w:widowControl w:val="0"/>
        <w:contextualSpacing/>
        <w:jc w:val="right"/>
        <w:rPr>
          <w:rFonts w:ascii="Times New Roman" w:eastAsia="Times New Roman" w:hAnsi="Times New Roman" w:cs="Times New Roman"/>
          <w:color w:val="auto"/>
          <w:kern w:val="0"/>
          <w:sz w:val="22"/>
          <w:szCs w:val="22"/>
        </w:rPr>
      </w:pPr>
    </w:p>
    <w:p w14:paraId="26782A7C" w14:textId="77777777" w:rsidR="00287481" w:rsidRPr="002922E6" w:rsidRDefault="00287481" w:rsidP="00287481">
      <w:pPr>
        <w:pStyle w:val="aa"/>
        <w:widowControl w:val="0"/>
        <w:ind w:right="-1"/>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t xml:space="preserve">Приложение № </w:t>
      </w:r>
      <w:r>
        <w:rPr>
          <w:rFonts w:ascii="Times New Roman" w:eastAsia="Times New Roman" w:hAnsi="Times New Roman" w:cs="Times New Roman"/>
          <w:color w:val="auto"/>
          <w:kern w:val="0"/>
          <w:sz w:val="22"/>
          <w:szCs w:val="22"/>
        </w:rPr>
        <w:t>2</w:t>
      </w:r>
    </w:p>
    <w:p w14:paraId="6B0296F5" w14:textId="1D8E0B0F"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5D6632E2" w14:textId="77777777" w:rsidR="00287481" w:rsidRPr="002922E6" w:rsidRDefault="00287481" w:rsidP="00287481">
      <w:pPr>
        <w:spacing w:before="280" w:after="280"/>
        <w:ind w:right="-1"/>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34BAE7F0" w14:textId="77777777" w:rsidR="00287481" w:rsidRPr="002922E6" w:rsidRDefault="00287481" w:rsidP="00287481">
      <w:pPr>
        <w:pStyle w:val="Standard"/>
        <w:widowControl w:val="0"/>
        <w:tabs>
          <w:tab w:val="left" w:pos="0"/>
        </w:tabs>
        <w:spacing w:after="120"/>
        <w:contextualSpacing/>
        <w:jc w:val="center"/>
        <w:rPr>
          <w:b/>
          <w:color w:val="auto"/>
          <w:kern w:val="0"/>
          <w:sz w:val="22"/>
          <w:szCs w:val="22"/>
          <w:lang w:eastAsia="ru-RU"/>
        </w:rPr>
      </w:pPr>
    </w:p>
    <w:p w14:paraId="0160A1E1" w14:textId="77777777" w:rsidR="00287481" w:rsidRDefault="00287481" w:rsidP="00287481">
      <w:pPr>
        <w:pStyle w:val="Standard"/>
        <w:widowControl w:val="0"/>
        <w:tabs>
          <w:tab w:val="left" w:pos="0"/>
        </w:tabs>
        <w:spacing w:after="120"/>
        <w:contextualSpacing/>
        <w:jc w:val="center"/>
        <w:rPr>
          <w:b/>
          <w:color w:val="auto"/>
          <w:sz w:val="22"/>
          <w:szCs w:val="22"/>
        </w:rPr>
      </w:pPr>
      <w:r w:rsidRPr="002922E6">
        <w:rPr>
          <w:b/>
          <w:color w:val="auto"/>
          <w:sz w:val="22"/>
          <w:szCs w:val="22"/>
        </w:rPr>
        <w:t>АКТ СДАЧИ-ПРИЕМКИ ОКАЗАННЫХ УСЛУГ</w:t>
      </w:r>
    </w:p>
    <w:p w14:paraId="732EF759" w14:textId="77777777" w:rsidR="00287481" w:rsidRDefault="00287481" w:rsidP="00287481">
      <w:pPr>
        <w:pStyle w:val="Standard"/>
        <w:widowControl w:val="0"/>
        <w:tabs>
          <w:tab w:val="left" w:pos="0"/>
        </w:tabs>
        <w:spacing w:after="120"/>
        <w:contextualSpacing/>
        <w:jc w:val="center"/>
        <w:rPr>
          <w:b/>
          <w:color w:val="auto"/>
          <w:sz w:val="22"/>
          <w:szCs w:val="22"/>
        </w:rPr>
      </w:pPr>
    </w:p>
    <w:p w14:paraId="6BD3FD87" w14:textId="77777777" w:rsidR="00287481" w:rsidRPr="002922E6" w:rsidRDefault="00287481" w:rsidP="00287481">
      <w:pPr>
        <w:pStyle w:val="Standard"/>
        <w:widowControl w:val="0"/>
        <w:tabs>
          <w:tab w:val="left" w:pos="0"/>
        </w:tabs>
        <w:spacing w:after="120"/>
        <w:contextualSpacing/>
        <w:jc w:val="center"/>
        <w:rPr>
          <w:color w:val="auto"/>
          <w:sz w:val="22"/>
          <w:szCs w:val="22"/>
        </w:rPr>
      </w:pPr>
    </w:p>
    <w:p w14:paraId="3EB21483" w14:textId="77777777" w:rsidR="00287481" w:rsidRDefault="00287481" w:rsidP="00287481">
      <w:pPr>
        <w:pStyle w:val="Standard"/>
        <w:widowControl w:val="0"/>
        <w:tabs>
          <w:tab w:val="left" w:pos="0"/>
        </w:tabs>
        <w:spacing w:after="120"/>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77777777"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 xml:space="preserve">/нормо-часа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77777777" w:rsidR="00287481" w:rsidRPr="002922E6" w:rsidRDefault="00287481" w:rsidP="0044131A">
            <w:pPr>
              <w:pStyle w:val="TableContents"/>
              <w:widowControl w:val="0"/>
              <w:snapToGrid w:val="0"/>
              <w:contextualSpacing/>
              <w:jc w:val="both"/>
              <w:rPr>
                <w:color w:val="auto"/>
                <w:sz w:val="22"/>
                <w:szCs w:val="22"/>
              </w:rPr>
            </w:pPr>
            <w:r>
              <w:rPr>
                <w:color w:val="auto"/>
                <w:sz w:val="22"/>
                <w:szCs w:val="22"/>
              </w:rPr>
              <w:t>нормо-час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651" w:type="dxa"/>
        <w:tblInd w:w="-158" w:type="dxa"/>
        <w:tblLayout w:type="fixed"/>
        <w:tblCellMar>
          <w:left w:w="10" w:type="dxa"/>
          <w:right w:w="10" w:type="dxa"/>
        </w:tblCellMar>
        <w:tblLook w:val="0000" w:firstRow="0" w:lastRow="0" w:firstColumn="0" w:lastColumn="0" w:noHBand="0" w:noVBand="0"/>
      </w:tblPr>
      <w:tblGrid>
        <w:gridCol w:w="577"/>
        <w:gridCol w:w="4528"/>
        <w:gridCol w:w="1559"/>
        <w:gridCol w:w="10"/>
        <w:gridCol w:w="2977"/>
      </w:tblGrid>
      <w:tr w:rsidR="00287481" w:rsidRPr="002922E6" w14:paraId="683A9B3D" w14:textId="77777777" w:rsidTr="0044131A">
        <w:tc>
          <w:tcPr>
            <w:tcW w:w="577" w:type="dxa"/>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44131A">
        <w:tc>
          <w:tcPr>
            <w:tcW w:w="577" w:type="dxa"/>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44131A">
        <w:tc>
          <w:tcPr>
            <w:tcW w:w="577" w:type="dxa"/>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44131A">
        <w:tblPrEx>
          <w:tblCellMar>
            <w:left w:w="108" w:type="dxa"/>
            <w:right w:w="108" w:type="dxa"/>
          </w:tblCellMar>
        </w:tblPrEx>
        <w:tc>
          <w:tcPr>
            <w:tcW w:w="9651" w:type="dxa"/>
            <w:gridSpan w:val="5"/>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44131A">
        <w:tc>
          <w:tcPr>
            <w:tcW w:w="577" w:type="dxa"/>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44131A">
        <w:trPr>
          <w:trHeight w:val="253"/>
        </w:trPr>
        <w:tc>
          <w:tcPr>
            <w:tcW w:w="577" w:type="dxa"/>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44131A">
        <w:trPr>
          <w:trHeight w:val="253"/>
        </w:trPr>
        <w:tc>
          <w:tcPr>
            <w:tcW w:w="577" w:type="dxa"/>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44131A">
        <w:trPr>
          <w:trHeight w:val="253"/>
        </w:trPr>
        <w:tc>
          <w:tcPr>
            <w:tcW w:w="577" w:type="dxa"/>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44131A">
        <w:tc>
          <w:tcPr>
            <w:tcW w:w="6674" w:type="dxa"/>
            <w:gridSpan w:val="4"/>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bl>
    <w:p w14:paraId="3AD20451" w14:textId="77777777" w:rsidR="00287481" w:rsidRPr="002922E6" w:rsidRDefault="00287481" w:rsidP="00287481">
      <w:pPr>
        <w:pStyle w:val="Standard"/>
        <w:widowControl w:val="0"/>
        <w:tabs>
          <w:tab w:val="left" w:pos="0"/>
        </w:tabs>
        <w:spacing w:after="120"/>
        <w:contextualSpacing/>
        <w:jc w:val="both"/>
        <w:rPr>
          <w:b/>
          <w:color w:val="auto"/>
          <w:sz w:val="22"/>
          <w:szCs w:val="22"/>
        </w:rPr>
      </w:pPr>
    </w:p>
    <w:p w14:paraId="25FC5878" w14:textId="77777777" w:rsidR="00287481" w:rsidRPr="002922E6" w:rsidRDefault="00287481" w:rsidP="00287481">
      <w:pPr>
        <w:pStyle w:val="Standard"/>
        <w:widowControl w:val="0"/>
        <w:tabs>
          <w:tab w:val="left" w:pos="0"/>
        </w:tabs>
        <w:spacing w:after="120"/>
        <w:contextualSpacing/>
        <w:rPr>
          <w:color w:val="auto"/>
          <w:sz w:val="22"/>
          <w:szCs w:val="22"/>
        </w:rPr>
      </w:pPr>
    </w:p>
    <w:tbl>
      <w:tblPr>
        <w:tblW w:w="9780" w:type="dxa"/>
        <w:tblInd w:w="-128" w:type="dxa"/>
        <w:tblLayout w:type="fixed"/>
        <w:tblCellMar>
          <w:left w:w="10" w:type="dxa"/>
          <w:right w:w="10" w:type="dxa"/>
        </w:tblCellMar>
        <w:tblLook w:val="0000" w:firstRow="0" w:lastRow="0" w:firstColumn="0" w:lastColumn="0" w:noHBand="0" w:noVBand="0"/>
      </w:tblPr>
      <w:tblGrid>
        <w:gridCol w:w="5107"/>
        <w:gridCol w:w="4673"/>
      </w:tblGrid>
      <w:tr w:rsidR="00287481" w:rsidRPr="002922E6" w14:paraId="71374DDB" w14:textId="77777777" w:rsidTr="0023617B">
        <w:trPr>
          <w:trHeight w:val="165"/>
        </w:trPr>
        <w:tc>
          <w:tcPr>
            <w:tcW w:w="5107" w:type="dxa"/>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74C1B2CE"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r w:rsidRPr="002922E6">
              <w:rPr>
                <w:b/>
                <w:color w:val="auto"/>
                <w:sz w:val="22"/>
                <w:szCs w:val="22"/>
              </w:rPr>
              <w:t xml:space="preserve">Заказчик: </w:t>
            </w:r>
          </w:p>
        </w:tc>
        <w:tc>
          <w:tcPr>
            <w:tcW w:w="4673" w:type="dxa"/>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23617B">
        <w:trPr>
          <w:trHeight w:val="165"/>
        </w:trPr>
        <w:tc>
          <w:tcPr>
            <w:tcW w:w="5107" w:type="dxa"/>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73" w:type="dxa"/>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23617B">
        <w:trPr>
          <w:trHeight w:val="782"/>
        </w:trPr>
        <w:tc>
          <w:tcPr>
            <w:tcW w:w="5107" w:type="dxa"/>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73" w:type="dxa"/>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23617B">
        <w:trPr>
          <w:trHeight w:val="782"/>
        </w:trPr>
        <w:tc>
          <w:tcPr>
            <w:tcW w:w="5107" w:type="dxa"/>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73" w:type="dxa"/>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3A0303B2" w:rsidR="00056188" w:rsidRPr="0023617B" w:rsidRDefault="0023617B" w:rsidP="00056188">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w:t>
      </w:r>
      <w:r w:rsidR="00056188" w:rsidRPr="0023617B">
        <w:rPr>
          <w:rFonts w:ascii="Times New Roman" w:eastAsia="Times New Roman" w:hAnsi="Times New Roman" w:cs="Times New Roman"/>
          <w:color w:val="000000"/>
          <w:sz w:val="20"/>
          <w:szCs w:val="20"/>
        </w:rPr>
        <w:lastRenderedPageBreak/>
        <w:t xml:space="preserve">обмена документами через </w:t>
      </w:r>
      <w:r w:rsidR="00056188" w:rsidRPr="00D8273A">
        <w:rPr>
          <w:rFonts w:ascii="Times New Roman" w:eastAsia="Times New Roman" w:hAnsi="Times New Roman" w:cs="Times New Roman"/>
          <w:color w:val="000000"/>
          <w:sz w:val="20"/>
          <w:szCs w:val="20"/>
        </w:rPr>
        <w:t xml:space="preserve">Информационный ресурс </w:t>
      </w:r>
      <w:proofErr w:type="spellStart"/>
      <w:r w:rsidR="00056188" w:rsidRPr="00D8273A">
        <w:rPr>
          <w:rFonts w:ascii="Times New Roman" w:eastAsia="Times New Roman" w:hAnsi="Times New Roman" w:cs="Times New Roman"/>
          <w:color w:val="000000"/>
          <w:sz w:val="20"/>
          <w:szCs w:val="20"/>
        </w:rPr>
        <w:t>Фасилити</w:t>
      </w:r>
      <w:proofErr w:type="spellEnd"/>
      <w:r w:rsidR="00056188" w:rsidRPr="00D8273A">
        <w:rPr>
          <w:rFonts w:ascii="Times New Roman" w:eastAsia="Times New Roman" w:hAnsi="Times New Roman" w:cs="Times New Roman"/>
          <w:color w:val="000000"/>
          <w:sz w:val="20"/>
          <w:szCs w:val="20"/>
        </w:rPr>
        <w:t>-операторов</w:t>
      </w:r>
      <w:r w:rsidR="00056188">
        <w:rPr>
          <w:rFonts w:ascii="Times New Roman" w:eastAsia="Times New Roman" w:hAnsi="Times New Roman" w:cs="Times New Roman"/>
          <w:color w:val="000000"/>
          <w:sz w:val="20"/>
          <w:szCs w:val="20"/>
        </w:rPr>
        <w:t>.</w:t>
      </w:r>
    </w:p>
    <w:p w14:paraId="466A4B6A" w14:textId="00A52E15" w:rsidR="00287481" w:rsidRDefault="00287481" w:rsidP="00056188">
      <w:pPr>
        <w:pBdr>
          <w:top w:val="nil"/>
          <w:left w:val="nil"/>
          <w:bottom w:val="nil"/>
          <w:right w:val="nil"/>
          <w:between w:val="nil"/>
        </w:pBdr>
        <w:tabs>
          <w:tab w:val="right" w:pos="9772"/>
        </w:tabs>
        <w:spacing w:before="150" w:after="150"/>
        <w:ind w:right="150"/>
      </w:pPr>
    </w:p>
    <w:tbl>
      <w:tblPr>
        <w:tblStyle w:val="a8"/>
        <w:tblW w:w="9780" w:type="dxa"/>
        <w:tblInd w:w="-128" w:type="dxa"/>
        <w:tblLayout w:type="fixed"/>
        <w:tblLook w:val="0000" w:firstRow="0" w:lastRow="0" w:firstColumn="0" w:lastColumn="0" w:noHBand="0" w:noVBand="0"/>
      </w:tblPr>
      <w:tblGrid>
        <w:gridCol w:w="5107"/>
        <w:gridCol w:w="4673"/>
      </w:tblGrid>
      <w:tr w:rsidR="00F77C88" w14:paraId="50ED691C" w14:textId="77777777">
        <w:trPr>
          <w:trHeight w:val="782"/>
        </w:trPr>
        <w:tc>
          <w:tcPr>
            <w:tcW w:w="5107" w:type="dxa"/>
            <w:shd w:val="clear" w:color="auto" w:fill="FFFFFF"/>
          </w:tcPr>
          <w:p w14:paraId="545ECAF6" w14:textId="77777777" w:rsidR="00F77C88" w:rsidRDefault="00F77C88" w:rsidP="00287481">
            <w:pPr>
              <w:rPr>
                <w:rFonts w:ascii="Times New Roman" w:eastAsia="Times New Roman" w:hAnsi="Times New Roman" w:cs="Times New Roman"/>
                <w:i/>
                <w:color w:val="000000"/>
                <w:sz w:val="22"/>
                <w:szCs w:val="22"/>
              </w:rPr>
            </w:pPr>
          </w:p>
        </w:tc>
        <w:tc>
          <w:tcPr>
            <w:tcW w:w="4673" w:type="dxa"/>
            <w:shd w:val="clear" w:color="auto" w:fill="FFFFFF"/>
          </w:tcPr>
          <w:p w14:paraId="539D3454" w14:textId="77777777" w:rsidR="00F77C88" w:rsidRDefault="00F77C88">
            <w:pPr>
              <w:pBdr>
                <w:top w:val="nil"/>
                <w:left w:val="nil"/>
                <w:bottom w:val="nil"/>
                <w:right w:val="nil"/>
                <w:between w:val="nil"/>
              </w:pBdr>
              <w:ind w:left="-51" w:right="-9"/>
              <w:jc w:val="both"/>
              <w:rPr>
                <w:rFonts w:ascii="Times New Roman" w:eastAsia="Times New Roman" w:hAnsi="Times New Roman" w:cs="Times New Roman"/>
                <w:i/>
                <w:color w:val="000000"/>
                <w:sz w:val="22"/>
                <w:szCs w:val="22"/>
              </w:rPr>
            </w:pPr>
          </w:p>
        </w:tc>
      </w:tr>
    </w:tbl>
    <w:p w14:paraId="32E64992" w14:textId="7145525F" w:rsidR="00F77C88" w:rsidRDefault="00B66A32">
      <w:pPr>
        <w:pBdr>
          <w:top w:val="nil"/>
          <w:left w:val="nil"/>
          <w:bottom w:val="nil"/>
          <w:right w:val="nil"/>
          <w:between w:val="nil"/>
        </w:pBdr>
        <w:tabs>
          <w:tab w:val="right" w:pos="9772"/>
        </w:tabs>
        <w:spacing w:before="150" w:after="150"/>
        <w:ind w:left="150" w:right="15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pgSz w:w="11906" w:h="16838"/>
      <w:pgMar w:top="568" w:right="850"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ED1878"/>
    <w:multiLevelType w:val="multilevel"/>
    <w:tmpl w:val="C43A5CE2"/>
    <w:lvl w:ilvl="0">
      <w:start w:val="1"/>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88"/>
    <w:rsid w:val="00053E9D"/>
    <w:rsid w:val="00056188"/>
    <w:rsid w:val="000824BD"/>
    <w:rsid w:val="000B64BF"/>
    <w:rsid w:val="001455CA"/>
    <w:rsid w:val="00180B11"/>
    <w:rsid w:val="00231151"/>
    <w:rsid w:val="0023617B"/>
    <w:rsid w:val="00242D77"/>
    <w:rsid w:val="00287481"/>
    <w:rsid w:val="00291CC5"/>
    <w:rsid w:val="002F262C"/>
    <w:rsid w:val="00315F9C"/>
    <w:rsid w:val="003216E3"/>
    <w:rsid w:val="00350B2C"/>
    <w:rsid w:val="003527E8"/>
    <w:rsid w:val="00354AC2"/>
    <w:rsid w:val="003E7AE9"/>
    <w:rsid w:val="004C05A0"/>
    <w:rsid w:val="00513EBB"/>
    <w:rsid w:val="0057658D"/>
    <w:rsid w:val="00581ABD"/>
    <w:rsid w:val="005837F6"/>
    <w:rsid w:val="005A24BA"/>
    <w:rsid w:val="005C364B"/>
    <w:rsid w:val="005F4C53"/>
    <w:rsid w:val="006E3907"/>
    <w:rsid w:val="006E4C38"/>
    <w:rsid w:val="007560CB"/>
    <w:rsid w:val="007A53A6"/>
    <w:rsid w:val="007C4DE6"/>
    <w:rsid w:val="00840CDA"/>
    <w:rsid w:val="008468EC"/>
    <w:rsid w:val="00853894"/>
    <w:rsid w:val="00884DEC"/>
    <w:rsid w:val="00942F29"/>
    <w:rsid w:val="009713D1"/>
    <w:rsid w:val="00974052"/>
    <w:rsid w:val="009A60DF"/>
    <w:rsid w:val="009B6973"/>
    <w:rsid w:val="009C3560"/>
    <w:rsid w:val="009D0325"/>
    <w:rsid w:val="009D3EA7"/>
    <w:rsid w:val="009D42CA"/>
    <w:rsid w:val="00A14086"/>
    <w:rsid w:val="00A42AD8"/>
    <w:rsid w:val="00A50370"/>
    <w:rsid w:val="00A73021"/>
    <w:rsid w:val="00AA139B"/>
    <w:rsid w:val="00AB048A"/>
    <w:rsid w:val="00AC416A"/>
    <w:rsid w:val="00AD6A4C"/>
    <w:rsid w:val="00AE289E"/>
    <w:rsid w:val="00AF5B1C"/>
    <w:rsid w:val="00B00EEC"/>
    <w:rsid w:val="00B66A32"/>
    <w:rsid w:val="00B8711C"/>
    <w:rsid w:val="00C24561"/>
    <w:rsid w:val="00C31BB0"/>
    <w:rsid w:val="00CC7B2E"/>
    <w:rsid w:val="00CE23ED"/>
    <w:rsid w:val="00D40EF5"/>
    <w:rsid w:val="00D600B4"/>
    <w:rsid w:val="00DB68DF"/>
    <w:rsid w:val="00E22F1B"/>
    <w:rsid w:val="00E44A90"/>
    <w:rsid w:val="00F04BF1"/>
    <w:rsid w:val="00F474FA"/>
    <w:rsid w:val="00F57B52"/>
    <w:rsid w:val="00F73C7E"/>
    <w:rsid w:val="00F77C88"/>
    <w:rsid w:val="00F87267"/>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Екатерина</cp:lastModifiedBy>
  <cp:revision>10</cp:revision>
  <cp:lastPrinted>2021-09-24T14:27:00Z</cp:lastPrinted>
  <dcterms:created xsi:type="dcterms:W3CDTF">2023-01-09T09:17:00Z</dcterms:created>
  <dcterms:modified xsi:type="dcterms:W3CDTF">2023-01-12T05:16:00Z</dcterms:modified>
</cp:coreProperties>
</file>